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rPr>
          <w:rFonts w:hint="eastAsia" w:ascii="宋体" w:hAnsi="宋体"/>
          <w:bCs/>
          <w:iCs/>
          <w:color w:val="000000"/>
          <w:sz w:val="24"/>
        </w:rPr>
      </w:pPr>
      <w:bookmarkStart w:id="0" w:name="_GoBack"/>
      <w:bookmarkEnd w:id="0"/>
      <w:r>
        <w:rPr>
          <w:rFonts w:hint="eastAsia" w:ascii="宋体" w:hAnsi="宋体"/>
          <w:bCs/>
          <w:iCs/>
          <w:color w:val="000000"/>
          <w:sz w:val="24"/>
        </w:rPr>
        <w:t>证券代码：000049                                  证券简称：德赛电池</w:t>
      </w:r>
    </w:p>
    <w:p>
      <w:pPr>
        <w:spacing w:before="156" w:beforeLines="50" w:after="156" w:afterLines="50" w:line="600" w:lineRule="exact"/>
        <w:jc w:val="center"/>
        <w:rPr>
          <w:rFonts w:hint="eastAsia" w:ascii="宋体" w:hAnsi="宋体"/>
          <w:b/>
          <w:bCs/>
          <w:iCs/>
          <w:color w:val="000000"/>
          <w:sz w:val="32"/>
          <w:szCs w:val="32"/>
        </w:rPr>
      </w:pPr>
      <w:r>
        <w:rPr>
          <w:rFonts w:hint="eastAsia" w:ascii="宋体" w:hAnsi="宋体"/>
          <w:b/>
          <w:bCs/>
          <w:iCs/>
          <w:color w:val="000000"/>
          <w:sz w:val="32"/>
          <w:szCs w:val="32"/>
        </w:rPr>
        <w:t>深圳市德赛电池科技股份有限公司投资者关系活动记录表</w:t>
      </w:r>
    </w:p>
    <w:p>
      <w:pPr>
        <w:spacing w:line="400" w:lineRule="exact"/>
        <w:rPr>
          <w:rFonts w:hint="eastAsia" w:ascii="宋体" w:hAnsi="宋体"/>
          <w:bCs/>
          <w:iCs/>
          <w:color w:val="000000"/>
          <w:sz w:val="24"/>
        </w:rPr>
      </w:pPr>
      <w:r>
        <w:rPr>
          <w:rFonts w:hint="eastAsia" w:ascii="宋体" w:hAnsi="宋体"/>
          <w:bCs/>
          <w:iCs/>
          <w:color w:val="000000"/>
          <w:sz w:val="24"/>
        </w:rPr>
        <w:t xml:space="preserve">                                                        编号：201</w:t>
      </w:r>
      <w:r>
        <w:rPr>
          <w:rFonts w:ascii="宋体" w:hAnsi="宋体"/>
          <w:bCs/>
          <w:iCs/>
          <w:color w:val="000000"/>
          <w:sz w:val="24"/>
        </w:rPr>
        <w:t>8</w:t>
      </w:r>
      <w:r>
        <w:rPr>
          <w:rFonts w:hint="eastAsia" w:ascii="宋体" w:hAnsi="宋体"/>
          <w:bCs/>
          <w:iCs/>
          <w:color w:val="000000"/>
          <w:sz w:val="24"/>
        </w:rPr>
        <w:t>-00</w:t>
      </w:r>
      <w:r>
        <w:rPr>
          <w:rFonts w:ascii="宋体" w:hAnsi="宋体"/>
          <w:bCs/>
          <w:iCs/>
          <w:color w:val="000000"/>
          <w:sz w:val="24"/>
        </w:rPr>
        <w:t>1</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top"/>
          </w:tcPr>
          <w:p>
            <w:pPr>
              <w:spacing w:line="480" w:lineRule="atLeast"/>
              <w:rPr>
                <w:rFonts w:ascii="宋体" w:hAnsi="宋体"/>
                <w:bCs/>
                <w:iCs/>
                <w:color w:val="000000"/>
                <w:sz w:val="24"/>
              </w:rPr>
            </w:pPr>
            <w:r>
              <w:rPr>
                <w:rFonts w:hint="eastAsia" w:ascii="宋体" w:hAnsi="宋体"/>
                <w:bCs/>
                <w:iCs/>
                <w:color w:val="000000"/>
                <w:sz w:val="24"/>
              </w:rPr>
              <w:t>投资者关系活动类别</w:t>
            </w:r>
          </w:p>
          <w:p>
            <w:pPr>
              <w:spacing w:line="480" w:lineRule="atLeast"/>
              <w:rPr>
                <w:rFonts w:ascii="宋体" w:hAnsi="宋体"/>
                <w:bCs/>
                <w:iCs/>
                <w:color w:val="000000"/>
                <w:sz w:val="24"/>
              </w:rPr>
            </w:pPr>
          </w:p>
        </w:tc>
        <w:tc>
          <w:tcPr>
            <w:tcW w:w="6614" w:type="dxa"/>
            <w:tcBorders>
              <w:top w:val="single" w:color="auto" w:sz="4" w:space="0"/>
              <w:left w:val="single" w:color="auto" w:sz="4" w:space="0"/>
              <w:bottom w:val="single" w:color="auto" w:sz="4" w:space="0"/>
              <w:right w:val="single" w:color="auto" w:sz="4" w:space="0"/>
            </w:tcBorders>
            <w:shd w:val="clear" w:color="auto" w:fill="auto"/>
            <w:vAlign w:val="top"/>
          </w:tcPr>
          <w:p>
            <w:pPr>
              <w:spacing w:line="360" w:lineRule="exact"/>
              <w:rPr>
                <w:rFonts w:hint="eastAsia" w:ascii="宋体" w:hAnsi="宋体"/>
                <w:sz w:val="28"/>
                <w:szCs w:val="28"/>
              </w:rPr>
            </w:pPr>
            <w:r>
              <w:rPr>
                <w:rFonts w:hint="eastAsia" w:ascii="宋体" w:hAnsi="宋体"/>
                <w:bCs/>
                <w:iCs/>
                <w:color w:val="000000"/>
                <w:sz w:val="24"/>
              </w:rPr>
              <w:t>■</w:t>
            </w:r>
            <w:r>
              <w:rPr>
                <w:rFonts w:hint="eastAsia" w:ascii="宋体" w:hAnsi="宋体"/>
                <w:sz w:val="28"/>
                <w:szCs w:val="28"/>
              </w:rPr>
              <w:t xml:space="preserve">特定对象调研        </w:t>
            </w:r>
            <w:r>
              <w:rPr>
                <w:rFonts w:hint="eastAsia" w:ascii="宋体" w:hAnsi="宋体"/>
                <w:bCs/>
                <w:iCs/>
                <w:color w:val="000000"/>
                <w:sz w:val="24"/>
              </w:rPr>
              <w:t>□</w:t>
            </w:r>
            <w:r>
              <w:rPr>
                <w:rFonts w:hint="eastAsia" w:ascii="宋体" w:hAnsi="宋体"/>
                <w:sz w:val="28"/>
                <w:szCs w:val="28"/>
              </w:rPr>
              <w:t>分析师会议</w:t>
            </w:r>
          </w:p>
          <w:p>
            <w:pPr>
              <w:spacing w:line="360" w:lineRule="exact"/>
              <w:rPr>
                <w:rFonts w:hint="eastAsia" w:ascii="宋体" w:hAnsi="宋体"/>
                <w:bCs/>
                <w:iCs/>
                <w:color w:val="000000"/>
                <w:sz w:val="24"/>
              </w:rPr>
            </w:pPr>
            <w:r>
              <w:rPr>
                <w:rFonts w:hint="eastAsia" w:ascii="宋体" w:hAnsi="宋体"/>
                <w:bCs/>
                <w:iCs/>
                <w:color w:val="000000"/>
                <w:sz w:val="24"/>
              </w:rPr>
              <w:t>□</w:t>
            </w:r>
            <w:r>
              <w:rPr>
                <w:rFonts w:hint="eastAsia" w:ascii="宋体" w:hAnsi="宋体"/>
                <w:sz w:val="28"/>
                <w:szCs w:val="28"/>
              </w:rPr>
              <w:t xml:space="preserve">媒体采访            </w:t>
            </w:r>
            <w:r>
              <w:rPr>
                <w:rFonts w:hint="eastAsia" w:ascii="宋体" w:hAnsi="宋体"/>
                <w:bCs/>
                <w:iCs/>
                <w:color w:val="000000"/>
                <w:sz w:val="24"/>
              </w:rPr>
              <w:t>□</w:t>
            </w:r>
            <w:r>
              <w:rPr>
                <w:rFonts w:hint="eastAsia" w:ascii="宋体" w:hAnsi="宋体"/>
                <w:sz w:val="28"/>
                <w:szCs w:val="28"/>
              </w:rPr>
              <w:t>业绩说明会</w:t>
            </w:r>
          </w:p>
          <w:p>
            <w:pPr>
              <w:spacing w:line="360" w:lineRule="exact"/>
              <w:rPr>
                <w:rFonts w:hint="eastAsia" w:ascii="宋体" w:hAnsi="宋体"/>
                <w:bCs/>
                <w:iCs/>
                <w:color w:val="000000"/>
                <w:sz w:val="24"/>
              </w:rPr>
            </w:pPr>
            <w:r>
              <w:rPr>
                <w:rFonts w:hint="eastAsia" w:ascii="宋体" w:hAnsi="宋体"/>
                <w:bCs/>
                <w:iCs/>
                <w:color w:val="000000"/>
                <w:sz w:val="24"/>
              </w:rPr>
              <w:t>□</w:t>
            </w:r>
            <w:r>
              <w:rPr>
                <w:rFonts w:hint="eastAsia" w:ascii="宋体" w:hAnsi="宋体"/>
                <w:sz w:val="28"/>
                <w:szCs w:val="28"/>
              </w:rPr>
              <w:t xml:space="preserve">新闻发布会          </w:t>
            </w:r>
            <w:r>
              <w:rPr>
                <w:rFonts w:hint="eastAsia" w:ascii="宋体" w:hAnsi="宋体"/>
                <w:bCs/>
                <w:iCs/>
                <w:color w:val="000000"/>
                <w:sz w:val="24"/>
              </w:rPr>
              <w:t>□</w:t>
            </w:r>
            <w:r>
              <w:rPr>
                <w:rFonts w:hint="eastAsia" w:ascii="宋体" w:hAnsi="宋体"/>
                <w:sz w:val="28"/>
                <w:szCs w:val="28"/>
              </w:rPr>
              <w:t>路演活动</w:t>
            </w:r>
          </w:p>
          <w:p>
            <w:pPr>
              <w:tabs>
                <w:tab w:val="left" w:pos="3045"/>
                <w:tab w:val="center" w:pos="3199"/>
              </w:tabs>
              <w:spacing w:line="360" w:lineRule="exact"/>
              <w:rPr>
                <w:rFonts w:hint="eastAsia" w:ascii="宋体" w:hAnsi="宋体"/>
                <w:bCs/>
                <w:iCs/>
                <w:color w:val="000000"/>
                <w:sz w:val="24"/>
              </w:rPr>
            </w:pPr>
            <w:r>
              <w:rPr>
                <w:rFonts w:hint="eastAsia" w:ascii="宋体" w:hAnsi="宋体"/>
                <w:bCs/>
                <w:iCs/>
                <w:color w:val="000000"/>
                <w:sz w:val="24"/>
              </w:rPr>
              <w:t>□</w:t>
            </w:r>
            <w:r>
              <w:rPr>
                <w:rFonts w:hint="eastAsia" w:ascii="宋体" w:hAnsi="宋体"/>
                <w:sz w:val="28"/>
                <w:szCs w:val="28"/>
              </w:rPr>
              <w:t>现场参观</w:t>
            </w:r>
            <w:r>
              <w:rPr>
                <w:rFonts w:hint="eastAsia" w:ascii="宋体" w:hAnsi="宋体"/>
                <w:bCs/>
                <w:iCs/>
                <w:color w:val="000000"/>
                <w:sz w:val="24"/>
              </w:rPr>
              <w:tab/>
            </w:r>
          </w:p>
          <w:p>
            <w:pPr>
              <w:tabs>
                <w:tab w:val="center" w:pos="3199"/>
              </w:tabs>
              <w:spacing w:line="360" w:lineRule="exact"/>
              <w:rPr>
                <w:rFonts w:ascii="宋体" w:hAnsi="宋体"/>
                <w:bCs/>
                <w:iCs/>
                <w:color w:val="000000"/>
                <w:sz w:val="24"/>
              </w:rPr>
            </w:pPr>
            <w:r>
              <w:rPr>
                <w:rFonts w:hint="eastAsia" w:ascii="宋体" w:hAnsi="宋体"/>
                <w:bCs/>
                <w:iCs/>
                <w:color w:val="000000"/>
                <w:sz w:val="24"/>
              </w:rPr>
              <w:t>□</w:t>
            </w:r>
            <w:r>
              <w:rPr>
                <w:rFonts w:hint="eastAsia" w:ascii="宋体" w:hAnsi="宋体"/>
                <w:sz w:val="28"/>
                <w:szCs w:val="28"/>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top"/>
          </w:tcPr>
          <w:p>
            <w:pPr>
              <w:spacing w:line="480" w:lineRule="atLeast"/>
              <w:rPr>
                <w:rFonts w:ascii="宋体" w:hAnsi="宋体"/>
                <w:bCs/>
                <w:iCs/>
                <w:color w:val="000000"/>
                <w:sz w:val="24"/>
              </w:rPr>
            </w:pPr>
            <w:r>
              <w:rPr>
                <w:rFonts w:hint="eastAsia" w:ascii="宋体" w:hAnsi="宋体"/>
                <w:bCs/>
                <w:iCs/>
                <w:color w:val="000000"/>
                <w:sz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shd w:val="clear" w:color="auto" w:fill="auto"/>
            <w:vAlign w:val="top"/>
          </w:tcPr>
          <w:p>
            <w:pPr>
              <w:spacing w:line="480" w:lineRule="atLeast"/>
              <w:ind w:left="120" w:leftChars="57"/>
              <w:rPr>
                <w:rFonts w:hint="eastAsia" w:ascii="宋体" w:hAnsi="宋体"/>
                <w:bCs/>
                <w:iCs/>
                <w:sz w:val="24"/>
              </w:rPr>
            </w:pPr>
            <w:r>
              <w:rPr>
                <w:rFonts w:hint="eastAsia" w:ascii="宋体" w:hAnsi="宋体"/>
                <w:bCs/>
                <w:iCs/>
                <w:sz w:val="24"/>
              </w:rPr>
              <w:t>天风证券 张昕；中信证券 晏磊；安信证券 张大印 曾捷；宝盈基金 陈卓苗；红土创新基金 张倩倩；天风天成 宋鹏；东方汇泉 戴泽龙 郭峰；承泽资产 廖星；中天国富证券 熊奇；上海呈瑞投资 邵帅；深圳亚威投资 吕建新；西藏源乘投资 胡亚男；西证创新投资 罗佳华；浙江天堂硅谷 蔡晓非 来旦沸;安信基金 方彬;中信建投证券 马红丽；昭图投资 王子杰；华夏基金 徐恒 陈虎；中海基金 张海啸；东莞证券 吴文吉；国泰君安 陈飞达；中国人保资管 陈业；前海人寿 刘扬 林海；兴业证券 廖伟吉 卜忠林 胡艳；中泰证券 周梦缘；方物创新资产 刘宇琪；东方阿尔法基金 竺艺。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top"/>
          </w:tcPr>
          <w:p>
            <w:pPr>
              <w:spacing w:line="480" w:lineRule="atLeast"/>
              <w:rPr>
                <w:rFonts w:ascii="宋体" w:hAnsi="宋体"/>
                <w:bCs/>
                <w:iCs/>
                <w:color w:val="000000"/>
                <w:sz w:val="24"/>
              </w:rPr>
            </w:pPr>
            <w:r>
              <w:rPr>
                <w:rFonts w:hint="eastAsia" w:ascii="宋体" w:hAnsi="宋体"/>
                <w:bCs/>
                <w:iCs/>
                <w:color w:val="000000"/>
                <w:sz w:val="24"/>
              </w:rPr>
              <w:t>时间</w:t>
            </w:r>
          </w:p>
        </w:tc>
        <w:tc>
          <w:tcPr>
            <w:tcW w:w="6614" w:type="dxa"/>
            <w:tcBorders>
              <w:top w:val="single" w:color="auto" w:sz="4" w:space="0"/>
              <w:left w:val="single" w:color="auto" w:sz="4" w:space="0"/>
              <w:bottom w:val="single" w:color="auto" w:sz="4" w:space="0"/>
              <w:right w:val="single" w:color="auto" w:sz="4" w:space="0"/>
            </w:tcBorders>
            <w:shd w:val="clear" w:color="auto" w:fill="auto"/>
            <w:vAlign w:val="top"/>
          </w:tcPr>
          <w:p>
            <w:pPr>
              <w:spacing w:line="480" w:lineRule="atLeast"/>
              <w:rPr>
                <w:rFonts w:hint="eastAsia" w:ascii="宋体" w:hAnsi="宋体"/>
                <w:bCs/>
                <w:iCs/>
                <w:color w:val="000000"/>
                <w:sz w:val="24"/>
              </w:rPr>
            </w:pPr>
            <w:r>
              <w:rPr>
                <w:rFonts w:hint="eastAsia" w:ascii="宋体" w:hAnsi="宋体"/>
                <w:bCs/>
                <w:iCs/>
                <w:color w:val="000000"/>
                <w:sz w:val="24"/>
              </w:rPr>
              <w:t>201</w:t>
            </w:r>
            <w:r>
              <w:rPr>
                <w:rFonts w:ascii="宋体" w:hAnsi="宋体"/>
                <w:bCs/>
                <w:iCs/>
                <w:color w:val="000000"/>
                <w:sz w:val="24"/>
              </w:rPr>
              <w:t>8</w:t>
            </w:r>
            <w:r>
              <w:rPr>
                <w:rFonts w:hint="eastAsia" w:ascii="宋体" w:hAnsi="宋体"/>
                <w:bCs/>
                <w:iCs/>
                <w:color w:val="000000"/>
                <w:sz w:val="24"/>
              </w:rPr>
              <w:t>年01月</w:t>
            </w:r>
            <w:r>
              <w:rPr>
                <w:rFonts w:ascii="宋体" w:hAnsi="宋体"/>
                <w:bCs/>
                <w:iCs/>
                <w:color w:val="000000"/>
                <w:sz w:val="24"/>
              </w:rPr>
              <w:t>16</w:t>
            </w:r>
            <w:r>
              <w:rPr>
                <w:rFonts w:hint="eastAsia" w:ascii="宋体" w:hAnsi="宋体"/>
                <w:bCs/>
                <w:iCs/>
                <w:color w:val="000000"/>
                <w:sz w:val="24"/>
              </w:rPr>
              <w:t>日、</w:t>
            </w:r>
            <w:r>
              <w:rPr>
                <w:rFonts w:ascii="宋体" w:hAnsi="宋体"/>
                <w:bCs/>
                <w:iCs/>
                <w:color w:val="000000"/>
                <w:sz w:val="24"/>
              </w:rPr>
              <w:t>1</w:t>
            </w:r>
            <w:r>
              <w:rPr>
                <w:rFonts w:hint="eastAsia" w:ascii="宋体" w:hAnsi="宋体"/>
                <w:bCs/>
                <w:iCs/>
                <w:color w:val="000000"/>
                <w:sz w:val="24"/>
              </w:rPr>
              <w:t>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top"/>
          </w:tcPr>
          <w:p>
            <w:pPr>
              <w:spacing w:line="480" w:lineRule="atLeast"/>
              <w:rPr>
                <w:rFonts w:ascii="宋体" w:hAnsi="宋体"/>
                <w:bCs/>
                <w:iCs/>
                <w:color w:val="000000"/>
                <w:sz w:val="24"/>
              </w:rPr>
            </w:pPr>
            <w:r>
              <w:rPr>
                <w:rFonts w:hint="eastAsia" w:ascii="宋体" w:hAnsi="宋体"/>
                <w:bCs/>
                <w:iCs/>
                <w:color w:val="000000"/>
                <w:sz w:val="24"/>
              </w:rPr>
              <w:t>地点</w:t>
            </w:r>
          </w:p>
        </w:tc>
        <w:tc>
          <w:tcPr>
            <w:tcW w:w="6614" w:type="dxa"/>
            <w:tcBorders>
              <w:top w:val="single" w:color="auto" w:sz="4" w:space="0"/>
              <w:left w:val="single" w:color="auto" w:sz="4" w:space="0"/>
              <w:bottom w:val="single" w:color="auto" w:sz="4" w:space="0"/>
              <w:right w:val="single" w:color="auto" w:sz="4" w:space="0"/>
            </w:tcBorders>
            <w:shd w:val="clear" w:color="auto" w:fill="auto"/>
            <w:vAlign w:val="top"/>
          </w:tcPr>
          <w:p>
            <w:pPr>
              <w:spacing w:line="480" w:lineRule="atLeast"/>
              <w:rPr>
                <w:rFonts w:hint="eastAsia" w:ascii="宋体" w:hAnsi="宋体"/>
                <w:bCs/>
                <w:iCs/>
                <w:color w:val="000000"/>
                <w:sz w:val="24"/>
              </w:rPr>
            </w:pPr>
            <w:r>
              <w:rPr>
                <w:rFonts w:hint="eastAsia" w:ascii="宋体" w:hAnsi="宋体"/>
                <w:bCs/>
                <w:iCs/>
                <w:color w:val="000000"/>
                <w:sz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top"/>
          </w:tcPr>
          <w:p>
            <w:pPr>
              <w:spacing w:line="480" w:lineRule="atLeast"/>
              <w:rPr>
                <w:rFonts w:ascii="宋体" w:hAnsi="宋体"/>
                <w:bCs/>
                <w:iCs/>
                <w:color w:val="000000"/>
                <w:sz w:val="24"/>
              </w:rPr>
            </w:pPr>
            <w:r>
              <w:rPr>
                <w:rFonts w:hint="eastAsia" w:ascii="宋体" w:hAnsi="宋体"/>
                <w:bCs/>
                <w:iCs/>
                <w:color w:val="000000"/>
                <w:sz w:val="24"/>
              </w:rPr>
              <w:t>上市公司接待人员姓名</w:t>
            </w:r>
          </w:p>
        </w:tc>
        <w:tc>
          <w:tcPr>
            <w:tcW w:w="6614" w:type="dxa"/>
            <w:tcBorders>
              <w:top w:val="single" w:color="auto" w:sz="4" w:space="0"/>
              <w:left w:val="single" w:color="auto" w:sz="4" w:space="0"/>
              <w:bottom w:val="single" w:color="auto" w:sz="4" w:space="0"/>
              <w:right w:val="single" w:color="auto" w:sz="4" w:space="0"/>
            </w:tcBorders>
            <w:shd w:val="clear" w:color="auto" w:fill="auto"/>
            <w:vAlign w:val="top"/>
          </w:tcPr>
          <w:p>
            <w:pPr>
              <w:spacing w:line="480" w:lineRule="atLeast"/>
              <w:rPr>
                <w:rFonts w:hint="eastAsia" w:ascii="宋体" w:hAnsi="宋体"/>
                <w:bCs/>
                <w:iCs/>
                <w:color w:val="000000"/>
                <w:sz w:val="24"/>
              </w:rPr>
            </w:pPr>
            <w:r>
              <w:rPr>
                <w:rFonts w:hint="eastAsia" w:ascii="宋体" w:hAnsi="宋体"/>
                <w:bCs/>
                <w:iCs/>
                <w:color w:val="000000"/>
                <w:sz w:val="24"/>
              </w:rPr>
              <w:t>董事会秘书王锋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投资者关系活动主要内容介绍</w:t>
            </w:r>
          </w:p>
          <w:p>
            <w:pPr>
              <w:spacing w:line="480" w:lineRule="atLeast"/>
              <w:rPr>
                <w:rFonts w:ascii="宋体" w:hAnsi="宋体"/>
                <w:bCs/>
                <w:iCs/>
                <w:color w:val="000000"/>
                <w:sz w:val="24"/>
              </w:rPr>
            </w:pPr>
          </w:p>
        </w:tc>
        <w:tc>
          <w:tcPr>
            <w:tcW w:w="6614" w:type="dxa"/>
            <w:tcBorders>
              <w:top w:val="single" w:color="auto" w:sz="4" w:space="0"/>
              <w:left w:val="single" w:color="auto" w:sz="4" w:space="0"/>
              <w:bottom w:val="single" w:color="auto" w:sz="4" w:space="0"/>
              <w:right w:val="single" w:color="auto" w:sz="4" w:space="0"/>
            </w:tcBorders>
            <w:shd w:val="clear" w:color="auto" w:fill="auto"/>
            <w:vAlign w:val="top"/>
          </w:tcPr>
          <w:p>
            <w:pPr>
              <w:spacing w:line="380" w:lineRule="exact"/>
              <w:rPr>
                <w:rFonts w:hint="eastAsia" w:ascii="宋体" w:hAnsi="宋体"/>
                <w:bCs/>
                <w:iCs/>
                <w:color w:val="000000"/>
                <w:sz w:val="24"/>
              </w:rPr>
            </w:pPr>
            <w:r>
              <w:rPr>
                <w:rFonts w:hint="eastAsia" w:ascii="宋体" w:hAnsi="宋体"/>
                <w:bCs/>
                <w:iCs/>
                <w:color w:val="000000"/>
                <w:sz w:val="24"/>
              </w:rPr>
              <w:t>一、签署《调研来访承诺书》；</w:t>
            </w:r>
          </w:p>
          <w:p>
            <w:pPr>
              <w:spacing w:line="380" w:lineRule="exact"/>
              <w:ind w:left="360" w:hanging="360" w:hangingChars="150"/>
              <w:rPr>
                <w:rFonts w:hint="eastAsia" w:ascii="宋体" w:hAnsi="宋体"/>
                <w:bCs/>
                <w:iCs/>
                <w:color w:val="000000"/>
                <w:sz w:val="24"/>
              </w:rPr>
            </w:pPr>
            <w:r>
              <w:rPr>
                <w:rFonts w:hint="eastAsia" w:ascii="宋体" w:hAnsi="宋体"/>
                <w:bCs/>
                <w:iCs/>
                <w:color w:val="000000"/>
                <w:sz w:val="24"/>
              </w:rPr>
              <w:t>二、介绍公司基本情况:</w:t>
            </w:r>
          </w:p>
          <w:p>
            <w:pPr>
              <w:spacing w:line="360" w:lineRule="auto"/>
              <w:ind w:firstLine="480" w:firstLineChars="200"/>
              <w:outlineLvl w:val="0"/>
              <w:rPr>
                <w:rFonts w:hint="eastAsia"/>
                <w:sz w:val="24"/>
              </w:rPr>
            </w:pPr>
            <w:r>
              <w:rPr>
                <w:rFonts w:hint="eastAsia" w:ascii="宋体" w:hAnsi="宋体"/>
                <w:bCs/>
                <w:iCs/>
                <w:color w:val="000000"/>
                <w:sz w:val="24"/>
              </w:rPr>
              <w:t>公</w:t>
            </w:r>
            <w:r>
              <w:rPr>
                <w:rFonts w:hint="eastAsia"/>
                <w:sz w:val="24"/>
              </w:rPr>
              <w:t>司为控股型公司，分别持有惠州蓝微、惠州电池两家子公司75%股权。第一大股东为惠州市德赛工业发展有限公司，目前持股45.23%，实际控制人为惠州市国资委。</w:t>
            </w:r>
          </w:p>
          <w:p>
            <w:pPr>
              <w:spacing w:line="360" w:lineRule="auto"/>
              <w:ind w:firstLine="480" w:firstLineChars="200"/>
              <w:outlineLvl w:val="0"/>
              <w:rPr>
                <w:rFonts w:hint="eastAsia"/>
                <w:sz w:val="24"/>
              </w:rPr>
            </w:pPr>
            <w:r>
              <w:rPr>
                <w:rFonts w:hint="eastAsia"/>
                <w:sz w:val="24"/>
              </w:rPr>
              <w:t>公司主要围绕移动电源产业链进行业务布局，其中惠州电池主营中小型锂电池封装集成业务，惠州蓝微主营中小型移动电源管理系统业务，二级子公司惠州新源主营大型动力电池、储能电池等电源管理系统及封装集成业务。目前公司在中小型电源管理系统暨封装细分市场处于领先地位。</w:t>
            </w:r>
          </w:p>
          <w:p>
            <w:pPr>
              <w:spacing w:line="360" w:lineRule="auto"/>
              <w:ind w:firstLine="480" w:firstLineChars="200"/>
              <w:outlineLvl w:val="0"/>
              <w:rPr>
                <w:rFonts w:hint="eastAsia"/>
                <w:sz w:val="24"/>
              </w:rPr>
            </w:pPr>
            <w:r>
              <w:rPr>
                <w:rFonts w:hint="eastAsia"/>
                <w:sz w:val="24"/>
              </w:rPr>
              <w:t>2017度公司实现营业收入约1</w:t>
            </w:r>
            <w:r>
              <w:rPr>
                <w:sz w:val="24"/>
              </w:rPr>
              <w:t>25</w:t>
            </w:r>
            <w:r>
              <w:rPr>
                <w:rFonts w:hint="eastAsia"/>
                <w:sz w:val="24"/>
              </w:rPr>
              <w:t>亿元，同比上升约4</w:t>
            </w:r>
            <w:r>
              <w:rPr>
                <w:sz w:val="24"/>
              </w:rPr>
              <w:t>3</w:t>
            </w:r>
            <w:r>
              <w:rPr>
                <w:rFonts w:hint="eastAsia"/>
                <w:sz w:val="24"/>
              </w:rPr>
              <w:t>%；归属于上市公司股东的净利润比上年同期上升5%-</w:t>
            </w:r>
            <w:r>
              <w:rPr>
                <w:sz w:val="24"/>
              </w:rPr>
              <w:t>2</w:t>
            </w:r>
            <w:r>
              <w:rPr>
                <w:rFonts w:hint="eastAsia"/>
                <w:sz w:val="24"/>
              </w:rPr>
              <w:t>5%，基本每股收益在</w:t>
            </w:r>
            <w:r>
              <w:rPr>
                <w:sz w:val="24"/>
              </w:rPr>
              <w:t>1</w:t>
            </w:r>
            <w:r>
              <w:rPr>
                <w:rFonts w:hint="eastAsia"/>
                <w:sz w:val="24"/>
              </w:rPr>
              <w:t>.</w:t>
            </w:r>
            <w:r>
              <w:rPr>
                <w:sz w:val="24"/>
              </w:rPr>
              <w:t>3</w:t>
            </w:r>
            <w:r>
              <w:rPr>
                <w:rFonts w:hint="eastAsia"/>
                <w:sz w:val="24"/>
              </w:rPr>
              <w:t>1元–</w:t>
            </w:r>
            <w:r>
              <w:rPr>
                <w:sz w:val="24"/>
              </w:rPr>
              <w:t>1</w:t>
            </w:r>
            <w:r>
              <w:rPr>
                <w:rFonts w:hint="eastAsia"/>
                <w:sz w:val="24"/>
              </w:rPr>
              <w:t>.55元期间。</w:t>
            </w:r>
          </w:p>
          <w:p>
            <w:pPr>
              <w:spacing w:line="380" w:lineRule="exact"/>
              <w:ind w:left="360" w:hanging="360" w:hangingChars="150"/>
              <w:rPr>
                <w:rFonts w:hint="eastAsia" w:ascii="宋体" w:hAnsi="宋体"/>
                <w:bCs/>
                <w:iCs/>
                <w:color w:val="000000"/>
                <w:sz w:val="24"/>
              </w:rPr>
            </w:pPr>
            <w:r>
              <w:rPr>
                <w:rFonts w:hint="eastAsia" w:ascii="宋体" w:hAnsi="宋体"/>
                <w:bCs/>
                <w:iCs/>
                <w:color w:val="000000"/>
                <w:sz w:val="24"/>
              </w:rPr>
              <w:t>三、回答调研提问，主要问答简述如下：</w:t>
            </w:r>
          </w:p>
          <w:p>
            <w:pPr>
              <w:spacing w:line="360" w:lineRule="auto"/>
              <w:ind w:firstLine="480" w:firstLineChars="200"/>
              <w:outlineLvl w:val="0"/>
              <w:rPr>
                <w:rFonts w:hint="eastAsia" w:ascii="宋体" w:hAnsi="宋体"/>
                <w:bCs/>
                <w:iCs/>
                <w:sz w:val="24"/>
              </w:rPr>
            </w:pPr>
            <w:r>
              <w:rPr>
                <w:rFonts w:hint="eastAsia" w:ascii="宋体" w:hAnsi="宋体"/>
                <w:bCs/>
                <w:iCs/>
                <w:sz w:val="24"/>
              </w:rPr>
              <w:t>1、收入增长的主要原因是什么？</w:t>
            </w:r>
          </w:p>
          <w:p>
            <w:pPr>
              <w:tabs>
                <w:tab w:val="left" w:pos="3240"/>
              </w:tabs>
              <w:spacing w:line="400" w:lineRule="exact"/>
              <w:ind w:firstLine="480" w:firstLineChars="200"/>
              <w:jc w:val="left"/>
              <w:rPr>
                <w:rFonts w:hint="eastAsia" w:ascii="宋体" w:hAnsi="宋体"/>
                <w:bCs/>
                <w:iCs/>
                <w:sz w:val="24"/>
              </w:rPr>
            </w:pPr>
            <w:r>
              <w:rPr>
                <w:rFonts w:hint="eastAsia"/>
                <w:sz w:val="24"/>
              </w:rPr>
              <w:t>答：报告期内公司电池封装业务发展良好，需求增加导致销售增长。首先是国内智能手机电池封装业务的增长，主要来源于份额的提升，</w:t>
            </w:r>
            <w:r>
              <w:rPr>
                <w:sz w:val="24"/>
              </w:rPr>
              <w:t>2017</w:t>
            </w:r>
            <w:r>
              <w:rPr>
                <w:rFonts w:hint="eastAsia"/>
                <w:sz w:val="24"/>
              </w:rPr>
              <w:t>年度公司在国内主要智能手机客户中的整体业务份额约三成；其次是智能手机客户单机电池价格的提升，国内客户和国际客户单机电池价格均有所提升，国际客户的单机电池价格提升幅度更大。</w:t>
            </w:r>
          </w:p>
          <w:p>
            <w:pPr>
              <w:spacing w:line="360" w:lineRule="auto"/>
              <w:ind w:firstLine="480" w:firstLineChars="200"/>
              <w:outlineLvl w:val="0"/>
              <w:rPr>
                <w:rFonts w:hint="eastAsia" w:ascii="宋体" w:hAnsi="宋体"/>
                <w:bCs/>
                <w:iCs/>
                <w:sz w:val="24"/>
              </w:rPr>
            </w:pPr>
            <w:r>
              <w:rPr>
                <w:rFonts w:hint="eastAsia" w:ascii="宋体" w:hAnsi="宋体"/>
                <w:bCs/>
                <w:iCs/>
                <w:sz w:val="24"/>
              </w:rPr>
              <w:t>2、相对收入增速，利润增速较低，尤其是第四季度利润同比可能还有下降，主要原因是什么？</w:t>
            </w:r>
          </w:p>
          <w:p>
            <w:pPr>
              <w:spacing w:line="360" w:lineRule="auto"/>
              <w:ind w:firstLine="480" w:firstLineChars="200"/>
              <w:outlineLvl w:val="0"/>
              <w:rPr>
                <w:rFonts w:hint="eastAsia" w:ascii="宋体" w:hAnsi="宋体"/>
                <w:bCs/>
                <w:iCs/>
                <w:sz w:val="24"/>
              </w:rPr>
            </w:pPr>
            <w:r>
              <w:rPr>
                <w:rFonts w:hint="eastAsia"/>
                <w:sz w:val="24"/>
              </w:rPr>
              <w:t>答：从全年来，毛利率下降是利润增速低于收入增速的主要原因，这里面有产品结构变化的影响，国内低毛利产品的占比提升；另外公司动力电池持续亏损对公司利润也有较大影响。第四季度利润与收入增速不匹配的原因除了毛利率下降和动力电池业务亏损外，还与管理费用增加有关。</w:t>
            </w:r>
          </w:p>
          <w:p>
            <w:pPr>
              <w:spacing w:line="360" w:lineRule="auto"/>
              <w:ind w:firstLine="480" w:firstLineChars="200"/>
              <w:outlineLvl w:val="0"/>
              <w:rPr>
                <w:rFonts w:hint="eastAsia"/>
                <w:sz w:val="24"/>
              </w:rPr>
            </w:pPr>
            <w:r>
              <w:rPr>
                <w:rFonts w:hint="eastAsia"/>
                <w:sz w:val="24"/>
              </w:rPr>
              <w:t>3、、惠州新源动力电池业务情况如何？</w:t>
            </w:r>
          </w:p>
          <w:p>
            <w:pPr>
              <w:spacing w:line="360" w:lineRule="auto"/>
              <w:ind w:firstLine="480" w:firstLineChars="200"/>
              <w:outlineLvl w:val="0"/>
              <w:rPr>
                <w:rFonts w:hint="eastAsia"/>
                <w:sz w:val="24"/>
              </w:rPr>
            </w:pPr>
            <w:r>
              <w:rPr>
                <w:rFonts w:hint="eastAsia"/>
                <w:sz w:val="24"/>
              </w:rPr>
              <w:t>答：四季度惠州新源动力电池业务经营情况并没有改善，仍然持续亏损并亏损幅度有所增加，2</w:t>
            </w:r>
            <w:r>
              <w:rPr>
                <w:sz w:val="24"/>
              </w:rPr>
              <w:t>017</w:t>
            </w:r>
            <w:r>
              <w:rPr>
                <w:rFonts w:hint="eastAsia"/>
                <w:sz w:val="24"/>
              </w:rPr>
              <w:t>年全年亏损预计超过一亿元，影响归属于上市公司股东的净利润约为-5</w:t>
            </w:r>
            <w:r>
              <w:rPr>
                <w:sz w:val="24"/>
              </w:rPr>
              <w:t>,</w:t>
            </w:r>
            <w:r>
              <w:rPr>
                <w:rFonts w:hint="eastAsia"/>
                <w:sz w:val="24"/>
              </w:rPr>
              <w:t>9</w:t>
            </w:r>
            <w:r>
              <w:rPr>
                <w:sz w:val="24"/>
              </w:rPr>
              <w:t>5</w:t>
            </w:r>
            <w:r>
              <w:rPr>
                <w:rFonts w:hint="eastAsia"/>
                <w:sz w:val="24"/>
              </w:rPr>
              <w:t>0万元。预计2</w:t>
            </w:r>
            <w:r>
              <w:rPr>
                <w:sz w:val="24"/>
              </w:rPr>
              <w:t>018</w:t>
            </w:r>
            <w:r>
              <w:rPr>
                <w:rFonts w:hint="eastAsia"/>
                <w:sz w:val="24"/>
              </w:rPr>
              <w:t>年度还将持续亏损,我们的目标是尽快减少亏损。</w:t>
            </w:r>
          </w:p>
          <w:p>
            <w:pPr>
              <w:spacing w:line="360" w:lineRule="auto"/>
              <w:ind w:firstLine="480" w:firstLineChars="200"/>
              <w:outlineLvl w:val="0"/>
              <w:rPr>
                <w:rFonts w:ascii="宋体" w:hAnsi="宋体"/>
                <w:bCs/>
                <w:iCs/>
                <w:sz w:val="24"/>
              </w:rPr>
            </w:pPr>
            <w:r>
              <w:rPr>
                <w:sz w:val="24"/>
              </w:rPr>
              <w:t>4</w:t>
            </w:r>
            <w:r>
              <w:rPr>
                <w:rFonts w:hint="eastAsia" w:ascii="宋体" w:hAnsi="宋体"/>
                <w:bCs/>
                <w:iCs/>
                <w:sz w:val="24"/>
              </w:rPr>
              <w:t>、公司是否有向其他业务领域拓展的计划？</w:t>
            </w:r>
          </w:p>
          <w:p>
            <w:pPr>
              <w:spacing w:line="360" w:lineRule="auto"/>
              <w:ind w:firstLine="480" w:firstLineChars="200"/>
              <w:outlineLvl w:val="0"/>
              <w:rPr>
                <w:rFonts w:hint="eastAsia" w:ascii="宋体" w:hAnsi="宋体"/>
                <w:bCs/>
                <w:iCs/>
                <w:sz w:val="24"/>
              </w:rPr>
            </w:pPr>
            <w:r>
              <w:rPr>
                <w:rFonts w:hint="eastAsia" w:ascii="宋体" w:hAnsi="宋体"/>
                <w:bCs/>
                <w:iCs/>
                <w:sz w:val="24"/>
              </w:rPr>
              <w:t>公司主要还是聚焦于锂电池的电池管理及封装业务，现阶段的主要任务是将现有业务做好，提升大型动力电池业务的竞争能力，拓展中型电动工具和笔记本电池业务，并稳定小型智能手机电池业务，暂时没有拓展锂电池电池管理及封装业务以外的其他业务领域的计划。</w:t>
            </w:r>
          </w:p>
          <w:p>
            <w:pPr>
              <w:spacing w:line="360" w:lineRule="auto"/>
              <w:ind w:firstLine="480" w:firstLineChars="200"/>
              <w:outlineLvl w:val="0"/>
              <w:rPr>
                <w:rFonts w:hint="eastAsia" w:ascii="宋体" w:hAnsi="宋体"/>
                <w:bCs/>
                <w:iCs/>
                <w:sz w:val="24"/>
              </w:rPr>
            </w:pPr>
            <w:r>
              <w:rPr>
                <w:rFonts w:hint="eastAsia" w:ascii="宋体" w:hAnsi="宋体"/>
                <w:bCs/>
                <w:iCs/>
                <w:sz w:val="24"/>
              </w:rPr>
              <w:t>5、公司对单一客户的依赖比较大，公司有没有措施应对这种风险？</w:t>
            </w:r>
          </w:p>
          <w:p>
            <w:pPr>
              <w:spacing w:line="360" w:lineRule="auto"/>
              <w:ind w:firstLine="480" w:firstLineChars="200"/>
              <w:outlineLvl w:val="0"/>
              <w:rPr>
                <w:rFonts w:ascii="宋体" w:hAnsi="宋体"/>
                <w:bCs/>
                <w:iCs/>
                <w:sz w:val="24"/>
              </w:rPr>
            </w:pPr>
            <w:r>
              <w:rPr>
                <w:rFonts w:hint="eastAsia" w:ascii="宋体" w:hAnsi="宋体"/>
                <w:bCs/>
                <w:iCs/>
                <w:sz w:val="24"/>
              </w:rPr>
              <w:t>答: 公司确实存在单一客户业务占比较大的风险，但我们可以看到，在过去的几年里是持续改善的，单一客户业务占比逐年下降，2015年单一核心客户占比约为70%，2016年约为60%，今年占比为</w:t>
            </w:r>
            <w:r>
              <w:rPr>
                <w:rFonts w:ascii="宋体" w:hAnsi="宋体"/>
                <w:bCs/>
                <w:iCs/>
                <w:sz w:val="24"/>
              </w:rPr>
              <w:t>5</w:t>
            </w:r>
            <w:r>
              <w:rPr>
                <w:rFonts w:hint="eastAsia" w:ascii="宋体" w:hAnsi="宋体"/>
                <w:bCs/>
                <w:iCs/>
                <w:sz w:val="24"/>
              </w:rPr>
              <w:t>0%多，未来，我们还将进一步开拓电动工具、动力电池等业务以期进一步降低单一客户风险。</w:t>
            </w:r>
          </w:p>
          <w:p>
            <w:pPr>
              <w:spacing w:line="360" w:lineRule="auto"/>
              <w:ind w:firstLine="480" w:firstLineChars="200"/>
              <w:outlineLvl w:val="0"/>
              <w:rPr>
                <w:rFonts w:hint="eastAsia"/>
                <w:sz w:val="24"/>
              </w:rPr>
            </w:pPr>
            <w:r>
              <w:rPr>
                <w:rFonts w:hint="eastAsia"/>
                <w:sz w:val="24"/>
              </w:rPr>
              <w:t>6、少数股东权益问题的解决有没有新的进展?</w:t>
            </w:r>
          </w:p>
          <w:p>
            <w:pPr>
              <w:spacing w:line="360" w:lineRule="auto"/>
              <w:ind w:firstLine="480" w:firstLineChars="200"/>
              <w:outlineLvl w:val="0"/>
              <w:rPr>
                <w:rFonts w:hint="eastAsia"/>
                <w:sz w:val="24"/>
              </w:rPr>
            </w:pPr>
            <w:r>
              <w:rPr>
                <w:rFonts w:hint="eastAsia"/>
                <w:sz w:val="24"/>
              </w:rPr>
              <w:t>答：公司少数股东权益问题，管理层、大股东和国资委等有关各方正在积极推动解决，目前尚未有明确时间表，谢谢！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附件清单（如有）</w:t>
            </w:r>
          </w:p>
        </w:tc>
        <w:tc>
          <w:tcPr>
            <w:tcW w:w="6614" w:type="dxa"/>
            <w:tcBorders>
              <w:top w:val="single" w:color="auto" w:sz="4" w:space="0"/>
              <w:left w:val="single" w:color="auto" w:sz="4" w:space="0"/>
              <w:bottom w:val="single" w:color="auto" w:sz="4" w:space="0"/>
              <w:right w:val="single" w:color="auto" w:sz="4" w:space="0"/>
            </w:tcBorders>
            <w:shd w:val="clear" w:color="auto" w:fill="auto"/>
            <w:vAlign w:val="top"/>
          </w:tcPr>
          <w:p>
            <w:pPr>
              <w:spacing w:line="480" w:lineRule="atLeast"/>
              <w:rPr>
                <w:rFonts w:hint="eastAsia" w:ascii="宋体" w:hAnsi="宋体"/>
                <w:bCs/>
                <w:iCs/>
                <w:color w:val="000000"/>
                <w:sz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日期</w:t>
            </w:r>
          </w:p>
        </w:tc>
        <w:tc>
          <w:tcPr>
            <w:tcW w:w="6614" w:type="dxa"/>
            <w:tcBorders>
              <w:top w:val="single" w:color="auto" w:sz="4" w:space="0"/>
              <w:left w:val="single" w:color="auto" w:sz="4" w:space="0"/>
              <w:bottom w:val="single" w:color="auto" w:sz="4" w:space="0"/>
              <w:right w:val="single" w:color="auto" w:sz="4" w:space="0"/>
            </w:tcBorders>
            <w:shd w:val="clear" w:color="auto" w:fill="auto"/>
            <w:vAlign w:val="top"/>
          </w:tcPr>
          <w:p>
            <w:pPr>
              <w:spacing w:line="480" w:lineRule="atLeast"/>
              <w:rPr>
                <w:rFonts w:hint="eastAsia" w:ascii="宋体" w:hAnsi="宋体"/>
                <w:bCs/>
                <w:iCs/>
                <w:color w:val="000000"/>
                <w:sz w:val="24"/>
              </w:rPr>
            </w:pPr>
            <w:r>
              <w:rPr>
                <w:rFonts w:hint="eastAsia" w:ascii="宋体" w:hAnsi="宋体"/>
                <w:bCs/>
                <w:iCs/>
                <w:color w:val="000000"/>
                <w:sz w:val="24"/>
              </w:rPr>
              <w:t>201</w:t>
            </w:r>
            <w:r>
              <w:rPr>
                <w:rFonts w:ascii="宋体" w:hAnsi="宋体"/>
                <w:bCs/>
                <w:iCs/>
                <w:color w:val="000000"/>
                <w:sz w:val="24"/>
              </w:rPr>
              <w:t>8</w:t>
            </w:r>
            <w:r>
              <w:rPr>
                <w:rFonts w:hint="eastAsia" w:ascii="宋体" w:hAnsi="宋体"/>
                <w:bCs/>
                <w:iCs/>
                <w:color w:val="000000"/>
                <w:sz w:val="24"/>
              </w:rPr>
              <w:t>年1月</w:t>
            </w:r>
            <w:r>
              <w:rPr>
                <w:rFonts w:ascii="宋体" w:hAnsi="宋体"/>
                <w:bCs/>
                <w:iCs/>
                <w:color w:val="000000"/>
                <w:sz w:val="24"/>
              </w:rPr>
              <w:t>1</w:t>
            </w:r>
            <w:r>
              <w:rPr>
                <w:rFonts w:hint="eastAsia" w:ascii="宋体" w:hAnsi="宋体"/>
                <w:bCs/>
                <w:iCs/>
                <w:color w:val="000000"/>
                <w:sz w:val="24"/>
              </w:rPr>
              <w:t>8日</w:t>
            </w:r>
          </w:p>
        </w:tc>
      </w:tr>
    </w:tbl>
    <w:p>
      <w:pPr>
        <w:rPr>
          <w:rFonts w:hint="eastAsia"/>
        </w:rPr>
      </w:pPr>
    </w:p>
    <w:sectPr>
      <w:pgSz w:w="11906" w:h="16838"/>
      <w:pgMar w:top="1246"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_x000B__x000C_">
    <w:altName w:val="Times New Roman"/>
    <w:panose1 w:val="00000000000000000000"/>
    <w:charset w:val="00"/>
    <w:family w:val="roman"/>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54"/>
    <w:rsid w:val="00001538"/>
    <w:rsid w:val="00001A1F"/>
    <w:rsid w:val="00002D61"/>
    <w:rsid w:val="000130B6"/>
    <w:rsid w:val="00015DD8"/>
    <w:rsid w:val="00020F96"/>
    <w:rsid w:val="0002136F"/>
    <w:rsid w:val="0002159A"/>
    <w:rsid w:val="00022215"/>
    <w:rsid w:val="00023F9A"/>
    <w:rsid w:val="00034851"/>
    <w:rsid w:val="0006441F"/>
    <w:rsid w:val="00071C67"/>
    <w:rsid w:val="00082E2A"/>
    <w:rsid w:val="00087B6F"/>
    <w:rsid w:val="000A1784"/>
    <w:rsid w:val="000A1A22"/>
    <w:rsid w:val="000B2AD7"/>
    <w:rsid w:val="000B4A4C"/>
    <w:rsid w:val="000B5826"/>
    <w:rsid w:val="000B7216"/>
    <w:rsid w:val="000C7F66"/>
    <w:rsid w:val="000E6848"/>
    <w:rsid w:val="00103F35"/>
    <w:rsid w:val="00110320"/>
    <w:rsid w:val="00112D5B"/>
    <w:rsid w:val="00112F8F"/>
    <w:rsid w:val="001151D4"/>
    <w:rsid w:val="00116BC7"/>
    <w:rsid w:val="00123076"/>
    <w:rsid w:val="001278B0"/>
    <w:rsid w:val="00136EDC"/>
    <w:rsid w:val="00137CE3"/>
    <w:rsid w:val="00142FF3"/>
    <w:rsid w:val="00154261"/>
    <w:rsid w:val="001663A3"/>
    <w:rsid w:val="00191F04"/>
    <w:rsid w:val="001A0396"/>
    <w:rsid w:val="001A20F2"/>
    <w:rsid w:val="001A39D0"/>
    <w:rsid w:val="001A489B"/>
    <w:rsid w:val="001B77BC"/>
    <w:rsid w:val="001C6668"/>
    <w:rsid w:val="001E1A4C"/>
    <w:rsid w:val="001F3240"/>
    <w:rsid w:val="001F4E9F"/>
    <w:rsid w:val="001F5EC7"/>
    <w:rsid w:val="00206F8F"/>
    <w:rsid w:val="00243A0F"/>
    <w:rsid w:val="00244A44"/>
    <w:rsid w:val="002454D7"/>
    <w:rsid w:val="002539A6"/>
    <w:rsid w:val="00255492"/>
    <w:rsid w:val="00264DF8"/>
    <w:rsid w:val="00271E42"/>
    <w:rsid w:val="002752B4"/>
    <w:rsid w:val="00277D03"/>
    <w:rsid w:val="002847C9"/>
    <w:rsid w:val="0028566B"/>
    <w:rsid w:val="002872AB"/>
    <w:rsid w:val="00290080"/>
    <w:rsid w:val="00295DAB"/>
    <w:rsid w:val="00295E0E"/>
    <w:rsid w:val="002A0EE0"/>
    <w:rsid w:val="002B07BA"/>
    <w:rsid w:val="002C25E8"/>
    <w:rsid w:val="002D03C5"/>
    <w:rsid w:val="002E6489"/>
    <w:rsid w:val="002F07A1"/>
    <w:rsid w:val="002F2832"/>
    <w:rsid w:val="002F5946"/>
    <w:rsid w:val="00301ACA"/>
    <w:rsid w:val="00304306"/>
    <w:rsid w:val="00305E00"/>
    <w:rsid w:val="00321CD7"/>
    <w:rsid w:val="003349D4"/>
    <w:rsid w:val="003360E9"/>
    <w:rsid w:val="00336936"/>
    <w:rsid w:val="00340BC4"/>
    <w:rsid w:val="00346575"/>
    <w:rsid w:val="00364DE5"/>
    <w:rsid w:val="003A0E95"/>
    <w:rsid w:val="003A2744"/>
    <w:rsid w:val="003B3269"/>
    <w:rsid w:val="003C0911"/>
    <w:rsid w:val="003C2054"/>
    <w:rsid w:val="003C46BB"/>
    <w:rsid w:val="003C6858"/>
    <w:rsid w:val="003D11E8"/>
    <w:rsid w:val="003E0478"/>
    <w:rsid w:val="00402A1A"/>
    <w:rsid w:val="0041328C"/>
    <w:rsid w:val="00416FA2"/>
    <w:rsid w:val="00417C0C"/>
    <w:rsid w:val="00426FC8"/>
    <w:rsid w:val="004276D0"/>
    <w:rsid w:val="004315ED"/>
    <w:rsid w:val="00434525"/>
    <w:rsid w:val="00444E5A"/>
    <w:rsid w:val="004456D1"/>
    <w:rsid w:val="00453E9B"/>
    <w:rsid w:val="00455EDF"/>
    <w:rsid w:val="00456C3C"/>
    <w:rsid w:val="00465AD7"/>
    <w:rsid w:val="004727ED"/>
    <w:rsid w:val="00477977"/>
    <w:rsid w:val="00482B00"/>
    <w:rsid w:val="004844FA"/>
    <w:rsid w:val="004961FC"/>
    <w:rsid w:val="004A1DCD"/>
    <w:rsid w:val="004A320F"/>
    <w:rsid w:val="004B32BE"/>
    <w:rsid w:val="004B3D39"/>
    <w:rsid w:val="004B5F4F"/>
    <w:rsid w:val="004C583C"/>
    <w:rsid w:val="004C67AA"/>
    <w:rsid w:val="004D34F0"/>
    <w:rsid w:val="004D3A86"/>
    <w:rsid w:val="004D51A7"/>
    <w:rsid w:val="004F5BEE"/>
    <w:rsid w:val="004F7FD8"/>
    <w:rsid w:val="0051227F"/>
    <w:rsid w:val="00514728"/>
    <w:rsid w:val="005221E1"/>
    <w:rsid w:val="00531CE7"/>
    <w:rsid w:val="00543DB1"/>
    <w:rsid w:val="005445E8"/>
    <w:rsid w:val="00547F75"/>
    <w:rsid w:val="005547C0"/>
    <w:rsid w:val="00561449"/>
    <w:rsid w:val="005620E6"/>
    <w:rsid w:val="00562C3C"/>
    <w:rsid w:val="0057294B"/>
    <w:rsid w:val="005806F5"/>
    <w:rsid w:val="00581F1D"/>
    <w:rsid w:val="00583A68"/>
    <w:rsid w:val="00584F31"/>
    <w:rsid w:val="00585E0C"/>
    <w:rsid w:val="005A4FDE"/>
    <w:rsid w:val="005C17D9"/>
    <w:rsid w:val="005D1681"/>
    <w:rsid w:val="005E339B"/>
    <w:rsid w:val="005E340A"/>
    <w:rsid w:val="005E4AEF"/>
    <w:rsid w:val="005E4FC0"/>
    <w:rsid w:val="005E71B4"/>
    <w:rsid w:val="005E7890"/>
    <w:rsid w:val="005F1942"/>
    <w:rsid w:val="005F1AA1"/>
    <w:rsid w:val="005F51C2"/>
    <w:rsid w:val="00605BD6"/>
    <w:rsid w:val="00606E3E"/>
    <w:rsid w:val="006107EC"/>
    <w:rsid w:val="00612415"/>
    <w:rsid w:val="00615385"/>
    <w:rsid w:val="006201D3"/>
    <w:rsid w:val="00627411"/>
    <w:rsid w:val="00631E3B"/>
    <w:rsid w:val="006416B7"/>
    <w:rsid w:val="00642ACB"/>
    <w:rsid w:val="00652425"/>
    <w:rsid w:val="006532E0"/>
    <w:rsid w:val="00657238"/>
    <w:rsid w:val="00661ABD"/>
    <w:rsid w:val="00675572"/>
    <w:rsid w:val="00681106"/>
    <w:rsid w:val="006A01AA"/>
    <w:rsid w:val="006A559A"/>
    <w:rsid w:val="006B22EB"/>
    <w:rsid w:val="006C092E"/>
    <w:rsid w:val="006C25DC"/>
    <w:rsid w:val="006C41EF"/>
    <w:rsid w:val="006F09DD"/>
    <w:rsid w:val="006F1B3C"/>
    <w:rsid w:val="006F3E8D"/>
    <w:rsid w:val="006F5431"/>
    <w:rsid w:val="00713AE2"/>
    <w:rsid w:val="00723FC1"/>
    <w:rsid w:val="0073397D"/>
    <w:rsid w:val="00735D03"/>
    <w:rsid w:val="0074062D"/>
    <w:rsid w:val="00751F29"/>
    <w:rsid w:val="00760069"/>
    <w:rsid w:val="007711C4"/>
    <w:rsid w:val="00773D32"/>
    <w:rsid w:val="00776FDE"/>
    <w:rsid w:val="00785BCA"/>
    <w:rsid w:val="007A3FBF"/>
    <w:rsid w:val="007B1D83"/>
    <w:rsid w:val="007B48EF"/>
    <w:rsid w:val="007B628E"/>
    <w:rsid w:val="007C0513"/>
    <w:rsid w:val="007C481E"/>
    <w:rsid w:val="007D18F5"/>
    <w:rsid w:val="007E0E40"/>
    <w:rsid w:val="007F25E5"/>
    <w:rsid w:val="00825648"/>
    <w:rsid w:val="00827773"/>
    <w:rsid w:val="00827B7B"/>
    <w:rsid w:val="00837B6E"/>
    <w:rsid w:val="00843D87"/>
    <w:rsid w:val="00845DD5"/>
    <w:rsid w:val="00850B1E"/>
    <w:rsid w:val="008515DF"/>
    <w:rsid w:val="008568E3"/>
    <w:rsid w:val="00857C07"/>
    <w:rsid w:val="00862EA2"/>
    <w:rsid w:val="00875ABE"/>
    <w:rsid w:val="00884229"/>
    <w:rsid w:val="008849AF"/>
    <w:rsid w:val="0088764F"/>
    <w:rsid w:val="0089145C"/>
    <w:rsid w:val="00895EA7"/>
    <w:rsid w:val="008A06DE"/>
    <w:rsid w:val="008B4FAC"/>
    <w:rsid w:val="008C590D"/>
    <w:rsid w:val="008D5B16"/>
    <w:rsid w:val="008F22A4"/>
    <w:rsid w:val="008F6AE8"/>
    <w:rsid w:val="009101E7"/>
    <w:rsid w:val="00921684"/>
    <w:rsid w:val="00930B46"/>
    <w:rsid w:val="00937529"/>
    <w:rsid w:val="00943FDB"/>
    <w:rsid w:val="00947AC7"/>
    <w:rsid w:val="00952E33"/>
    <w:rsid w:val="00953513"/>
    <w:rsid w:val="00964476"/>
    <w:rsid w:val="009677FA"/>
    <w:rsid w:val="00970DAE"/>
    <w:rsid w:val="00975692"/>
    <w:rsid w:val="009775E3"/>
    <w:rsid w:val="00993A6F"/>
    <w:rsid w:val="00994257"/>
    <w:rsid w:val="00994807"/>
    <w:rsid w:val="00996B71"/>
    <w:rsid w:val="009A7528"/>
    <w:rsid w:val="009A7D05"/>
    <w:rsid w:val="009B24FC"/>
    <w:rsid w:val="009B282B"/>
    <w:rsid w:val="009B3CA5"/>
    <w:rsid w:val="009B62B6"/>
    <w:rsid w:val="009C742D"/>
    <w:rsid w:val="009D0731"/>
    <w:rsid w:val="009E53D5"/>
    <w:rsid w:val="009F1D5E"/>
    <w:rsid w:val="009F2513"/>
    <w:rsid w:val="00A01798"/>
    <w:rsid w:val="00A0430C"/>
    <w:rsid w:val="00A04595"/>
    <w:rsid w:val="00A13D8C"/>
    <w:rsid w:val="00A15E68"/>
    <w:rsid w:val="00A16177"/>
    <w:rsid w:val="00A237E2"/>
    <w:rsid w:val="00A27452"/>
    <w:rsid w:val="00A316AF"/>
    <w:rsid w:val="00A347DF"/>
    <w:rsid w:val="00A520AE"/>
    <w:rsid w:val="00A526AF"/>
    <w:rsid w:val="00A67604"/>
    <w:rsid w:val="00A75746"/>
    <w:rsid w:val="00A75884"/>
    <w:rsid w:val="00AB4F86"/>
    <w:rsid w:val="00AD30F5"/>
    <w:rsid w:val="00AD4323"/>
    <w:rsid w:val="00AD45E0"/>
    <w:rsid w:val="00AD64CF"/>
    <w:rsid w:val="00AE52D5"/>
    <w:rsid w:val="00AF1BDD"/>
    <w:rsid w:val="00AF344A"/>
    <w:rsid w:val="00AF4310"/>
    <w:rsid w:val="00B065DB"/>
    <w:rsid w:val="00B11087"/>
    <w:rsid w:val="00B14129"/>
    <w:rsid w:val="00B15FF2"/>
    <w:rsid w:val="00B224FA"/>
    <w:rsid w:val="00B22BD8"/>
    <w:rsid w:val="00B239FC"/>
    <w:rsid w:val="00B416FC"/>
    <w:rsid w:val="00B536A6"/>
    <w:rsid w:val="00B53725"/>
    <w:rsid w:val="00B54AE0"/>
    <w:rsid w:val="00B55FEF"/>
    <w:rsid w:val="00B632F3"/>
    <w:rsid w:val="00B64E0D"/>
    <w:rsid w:val="00B84CA9"/>
    <w:rsid w:val="00B902B0"/>
    <w:rsid w:val="00BA56CC"/>
    <w:rsid w:val="00BB125E"/>
    <w:rsid w:val="00BB180A"/>
    <w:rsid w:val="00BB18DA"/>
    <w:rsid w:val="00BC54F0"/>
    <w:rsid w:val="00BC620D"/>
    <w:rsid w:val="00BD5E09"/>
    <w:rsid w:val="00BE03A8"/>
    <w:rsid w:val="00BE1DF1"/>
    <w:rsid w:val="00BE2B97"/>
    <w:rsid w:val="00BE5EBD"/>
    <w:rsid w:val="00BE6FD6"/>
    <w:rsid w:val="00BF0D3C"/>
    <w:rsid w:val="00C04C74"/>
    <w:rsid w:val="00C308E2"/>
    <w:rsid w:val="00C30D97"/>
    <w:rsid w:val="00C44001"/>
    <w:rsid w:val="00C45DA0"/>
    <w:rsid w:val="00C567F4"/>
    <w:rsid w:val="00C56ED1"/>
    <w:rsid w:val="00C61C3A"/>
    <w:rsid w:val="00C744C5"/>
    <w:rsid w:val="00C93D1F"/>
    <w:rsid w:val="00CA2B26"/>
    <w:rsid w:val="00CB7AEB"/>
    <w:rsid w:val="00CC3E6C"/>
    <w:rsid w:val="00CD16AF"/>
    <w:rsid w:val="00CD30B3"/>
    <w:rsid w:val="00CD5A01"/>
    <w:rsid w:val="00CE15A4"/>
    <w:rsid w:val="00CE1FAC"/>
    <w:rsid w:val="00CF084A"/>
    <w:rsid w:val="00D0368D"/>
    <w:rsid w:val="00D03D8E"/>
    <w:rsid w:val="00D20B96"/>
    <w:rsid w:val="00D22AD8"/>
    <w:rsid w:val="00D24829"/>
    <w:rsid w:val="00D26508"/>
    <w:rsid w:val="00D2693A"/>
    <w:rsid w:val="00D44020"/>
    <w:rsid w:val="00D442BE"/>
    <w:rsid w:val="00D44F06"/>
    <w:rsid w:val="00D52C91"/>
    <w:rsid w:val="00D55733"/>
    <w:rsid w:val="00D6184B"/>
    <w:rsid w:val="00D91F1F"/>
    <w:rsid w:val="00DB25E0"/>
    <w:rsid w:val="00DB5A32"/>
    <w:rsid w:val="00DB6A16"/>
    <w:rsid w:val="00DD0756"/>
    <w:rsid w:val="00DD6838"/>
    <w:rsid w:val="00DE0D49"/>
    <w:rsid w:val="00DE1ABA"/>
    <w:rsid w:val="00DF4A5A"/>
    <w:rsid w:val="00E05C50"/>
    <w:rsid w:val="00E1573C"/>
    <w:rsid w:val="00E23C74"/>
    <w:rsid w:val="00E23D14"/>
    <w:rsid w:val="00E260A1"/>
    <w:rsid w:val="00E32C22"/>
    <w:rsid w:val="00E4404C"/>
    <w:rsid w:val="00E464A7"/>
    <w:rsid w:val="00E51693"/>
    <w:rsid w:val="00E546FD"/>
    <w:rsid w:val="00E62DB3"/>
    <w:rsid w:val="00E647AD"/>
    <w:rsid w:val="00E72607"/>
    <w:rsid w:val="00E84688"/>
    <w:rsid w:val="00E90245"/>
    <w:rsid w:val="00EA665C"/>
    <w:rsid w:val="00EB0DEB"/>
    <w:rsid w:val="00EB1218"/>
    <w:rsid w:val="00EB15AC"/>
    <w:rsid w:val="00EB5B63"/>
    <w:rsid w:val="00EB6DA8"/>
    <w:rsid w:val="00EC4FD2"/>
    <w:rsid w:val="00ED30D0"/>
    <w:rsid w:val="00ED3A36"/>
    <w:rsid w:val="00ED565E"/>
    <w:rsid w:val="00ED79AE"/>
    <w:rsid w:val="00EE1938"/>
    <w:rsid w:val="00EF368F"/>
    <w:rsid w:val="00F00DD8"/>
    <w:rsid w:val="00F06213"/>
    <w:rsid w:val="00F07173"/>
    <w:rsid w:val="00F1158D"/>
    <w:rsid w:val="00F13CA9"/>
    <w:rsid w:val="00F31F4C"/>
    <w:rsid w:val="00F3498A"/>
    <w:rsid w:val="00F44061"/>
    <w:rsid w:val="00F47B32"/>
    <w:rsid w:val="00F507FC"/>
    <w:rsid w:val="00F72484"/>
    <w:rsid w:val="00F744E5"/>
    <w:rsid w:val="00F75C12"/>
    <w:rsid w:val="00F937DE"/>
    <w:rsid w:val="00F94B30"/>
    <w:rsid w:val="00FA3ACB"/>
    <w:rsid w:val="00FC24C9"/>
    <w:rsid w:val="00FC610F"/>
    <w:rsid w:val="00FC6F5C"/>
    <w:rsid w:val="00FE44D4"/>
    <w:rsid w:val="00FE6798"/>
    <w:rsid w:val="00FE6A98"/>
    <w:rsid w:val="00FE7D83"/>
    <w:rsid w:val="00FF3C9F"/>
    <w:rsid w:val="00FF64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2">
    <w:name w:val="Body Text Indent"/>
    <w:basedOn w:val="1"/>
    <w:uiPriority w:val="0"/>
    <w:pPr>
      <w:spacing w:after="120"/>
      <w:ind w:leftChars="200"/>
    </w:pPr>
    <w:rPr>
      <w:szCs w:val="20"/>
    </w:rPr>
  </w:style>
  <w:style w:type="paragraph" w:styleId="3">
    <w:name w:val="Balloon Text"/>
    <w:basedOn w:val="1"/>
    <w:link w:val="11"/>
    <w:uiPriority w:val="0"/>
    <w:rPr>
      <w:sz w:val="18"/>
      <w:szCs w:val="18"/>
    </w:r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styleId="7">
    <w:name w:val="Emphasis"/>
    <w:qFormat/>
    <w:uiPriority w:val="20"/>
    <w:rPr>
      <w:color w:val="CC0000"/>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0">
    <w:name w:val=""/>
    <w:basedOn w:val="1"/>
    <w:qFormat/>
    <w:uiPriority w:val="34"/>
    <w:pPr>
      <w:widowControl/>
      <w:ind w:firstLine="420" w:firstLineChars="200"/>
      <w:jc w:val="left"/>
    </w:pPr>
    <w:rPr>
      <w:rFonts w:ascii="宋体" w:hAnsi="宋体" w:cs="宋体"/>
      <w:kern w:val="0"/>
      <w:sz w:val="24"/>
    </w:rPr>
  </w:style>
  <w:style w:type="character" w:customStyle="1" w:styleId="11">
    <w:name w:val="批注框文本 Char"/>
    <w:link w:val="3"/>
    <w:uiPriority w:val="0"/>
    <w:rPr>
      <w:kern w:val="2"/>
      <w:sz w:val="18"/>
      <w:szCs w:val="18"/>
    </w:rPr>
  </w:style>
  <w:style w:type="character" w:customStyle="1" w:styleId="12">
    <w:name w:val="页眉 Char"/>
    <w:link w:val="5"/>
    <w:uiPriority w:val="0"/>
    <w:rPr>
      <w:kern w:val="2"/>
      <w:sz w:val="18"/>
      <w:szCs w:val="18"/>
    </w:rPr>
  </w:style>
  <w:style w:type="character" w:customStyle="1" w:styleId="13">
    <w:name w:val="页脚 Char"/>
    <w:link w:val="4"/>
    <w:uiPriority w:val="0"/>
    <w:rPr>
      <w:kern w:val="2"/>
      <w:sz w:val="18"/>
      <w:szCs w:val="18"/>
    </w:rPr>
  </w:style>
  <w:style w:type="character" w:customStyle="1" w:styleId="14">
    <w:name w:val="apple-converted-space"/>
    <w:basedOn w:val="6"/>
    <w:uiPriority w:val="0"/>
  </w:style>
  <w:style w:type="character" w:customStyle="1" w:styleId="15">
    <w:name w:val="da1"/>
    <w:uiPriority w:val="99"/>
    <w:rPr>
      <w:rFonts w:hint="default" w:ascii="_x000B__x000C_" w:hAnsi="_x000B__x000C_"/>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269</Words>
  <Characters>1538</Characters>
  <Lines>12</Lines>
  <Paragraphs>3</Paragraphs>
  <ScaleCrop>false</ScaleCrop>
  <LinksUpToDate>false</LinksUpToDate>
  <CharactersWithSpaces>1804</CharactersWithSpaces>
  <Application>WPS Office_10.1.0.6689_F1E327BC-269C-435d-A152-05C5408002CA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2016-11-03T12:48:00Z</dcterms:created>
  <dc:creator>wangfeng</dc:creator>
  <cp:lastModifiedBy>guoliang</cp:lastModifiedBy>
  <cp:lastPrinted>2014-08-29T02:35:00Z</cp:lastPrinted>
  <dcterms:modified xsi:type="dcterms:W3CDTF">2018-01-18T11:25:36Z</dcterms:modified>
  <dc:title>证券代码：000049                                  证券简称：德赛电池</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2052-10.1.0.6689</vt:lpwstr>
  </property>
</Properties>
</file>