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3F144D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 w:val="24"/>
        </w:rPr>
      </w:pPr>
      <w:r w:rsidRPr="003F144D">
        <w:rPr>
          <w:rFonts w:ascii="Arial" w:eastAsia="华文细黑" w:hAnsi="Arial" w:hint="eastAsia"/>
          <w:bCs/>
          <w:iCs/>
          <w:color w:val="000000"/>
          <w:sz w:val="24"/>
        </w:rPr>
        <w:t>证券代码：</w:t>
      </w:r>
      <w:r w:rsidRPr="003F144D">
        <w:rPr>
          <w:rFonts w:ascii="Arial" w:eastAsia="华文细黑" w:hAnsi="Arial" w:hint="eastAsia"/>
          <w:bCs/>
          <w:iCs/>
          <w:color w:val="000000"/>
          <w:sz w:val="24"/>
        </w:rPr>
        <w:t xml:space="preserve">000001                                  </w:t>
      </w:r>
      <w:r w:rsidRPr="003F144D">
        <w:rPr>
          <w:rFonts w:ascii="Arial" w:eastAsia="华文细黑" w:hAnsi="Arial" w:hint="eastAsia"/>
          <w:bCs/>
          <w:iCs/>
          <w:color w:val="000000"/>
          <w:sz w:val="24"/>
        </w:rPr>
        <w:t>证券简称：</w:t>
      </w:r>
      <w:r w:rsidR="00D96584" w:rsidRPr="003F144D">
        <w:rPr>
          <w:rFonts w:ascii="Arial" w:eastAsia="华文细黑" w:hAnsi="Arial" w:hint="eastAsia"/>
          <w:bCs/>
          <w:iCs/>
          <w:color w:val="000000"/>
          <w:sz w:val="24"/>
        </w:rPr>
        <w:t>平安银行</w:t>
      </w:r>
    </w:p>
    <w:p w:rsidR="00EE1C10" w:rsidRPr="003F144D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 w:val="32"/>
          <w:szCs w:val="32"/>
        </w:rPr>
      </w:pPr>
      <w:r w:rsidRPr="003F144D">
        <w:rPr>
          <w:rFonts w:ascii="Arial" w:eastAsia="华文细黑" w:hAnsi="Arial" w:hint="eastAsia"/>
          <w:b/>
          <w:bCs/>
          <w:iCs/>
          <w:color w:val="000000"/>
          <w:sz w:val="32"/>
          <w:szCs w:val="32"/>
        </w:rPr>
        <w:t>平安</w:t>
      </w:r>
      <w:r w:rsidR="00EE1C10" w:rsidRPr="003F144D">
        <w:rPr>
          <w:rFonts w:ascii="Arial" w:eastAsia="华文细黑" w:hAnsi="Arial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3F144D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 w:val="24"/>
        </w:rPr>
      </w:pPr>
      <w:r w:rsidRPr="003F144D">
        <w:rPr>
          <w:rFonts w:ascii="Arial" w:eastAsia="华文细黑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3F144D">
        <w:rPr>
          <w:rFonts w:ascii="Arial" w:eastAsia="华文细黑" w:hAnsi="Arial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EE1C10" w:rsidRPr="003F144D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C5679" w:rsidRDefault="00EE1C10" w:rsidP="008F16A2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  <w:p w:rsidR="00EE1C10" w:rsidRPr="009C5679" w:rsidRDefault="00EE1C10" w:rsidP="008F16A2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C5679" w:rsidRDefault="002515C0" w:rsidP="00DE4B3F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9C567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9C567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9C567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9C5679" w:rsidRDefault="00EE1C10" w:rsidP="00DE4B3F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9C5679" w:rsidRDefault="00EE1C10" w:rsidP="00DE4B3F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9C5679" w:rsidRDefault="00EE1C10" w:rsidP="00DE4B3F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9C5679" w:rsidRDefault="002515C0" w:rsidP="00DE4B3F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9C567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3F144D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C5679" w:rsidRDefault="00EE1C10" w:rsidP="009C5679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C5679" w:rsidRDefault="003F144D" w:rsidP="003F144D">
            <w:pPr>
              <w:spacing w:line="480" w:lineRule="atLeast"/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海外</w:t>
            </w:r>
            <w:r w:rsidR="00375010" w:rsidRPr="009C5679">
              <w:rPr>
                <w:rFonts w:ascii="Arial" w:eastAsia="华文细黑" w:hAnsi="Arial"/>
                <w:sz w:val="21"/>
                <w:szCs w:val="21"/>
              </w:rPr>
              <w:t>券商、基金等各类投资者</w:t>
            </w:r>
          </w:p>
        </w:tc>
      </w:tr>
      <w:tr w:rsidR="00EE1C10" w:rsidRPr="003F144D" w:rsidTr="009C567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C5679" w:rsidRDefault="00EE1C10" w:rsidP="009C5679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C5679" w:rsidRDefault="0043629D" w:rsidP="009C5679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F144D"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F144D"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3F144D"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04</w:t>
            </w: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3F144D" w:rsidTr="009C567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C5679" w:rsidRDefault="00EE1C10" w:rsidP="009C5679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C5679" w:rsidRDefault="003F144D" w:rsidP="009C5679">
            <w:pPr>
              <w:spacing w:line="480" w:lineRule="atLeast"/>
              <w:rPr>
                <w:rFonts w:ascii="Arial" w:eastAsia="华文细黑" w:hAnsi="Arial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sz w:val="21"/>
                <w:szCs w:val="21"/>
              </w:rPr>
              <w:t>香港</w:t>
            </w:r>
          </w:p>
        </w:tc>
      </w:tr>
      <w:tr w:rsidR="00EE1C10" w:rsidRPr="003F144D" w:rsidTr="009C567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C5679" w:rsidRDefault="00EE1C10" w:rsidP="009C5679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C5679" w:rsidRDefault="002515C0" w:rsidP="009C5679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C567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3F144D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3F144D" w:rsidRDefault="00EE1C10" w:rsidP="009C5679">
            <w:pPr>
              <w:rPr>
                <w:rFonts w:ascii="Arial" w:eastAsia="华文细黑" w:hAnsi="Arial"/>
                <w:bCs/>
                <w:iCs/>
                <w:color w:val="000000"/>
                <w:sz w:val="24"/>
              </w:rPr>
            </w:pPr>
            <w:r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3F144D" w:rsidRDefault="00EE1C10" w:rsidP="008F16A2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3F144D" w:rsidRDefault="00EE1C10" w:rsidP="003F144D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3F144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F144D" w:rsidRPr="003F144D" w:rsidRDefault="003F144D" w:rsidP="003F144D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3F144D" w:rsidRPr="003F144D" w:rsidRDefault="003F144D" w:rsidP="00AA5A95">
            <w:pPr>
              <w:pStyle w:val="3"/>
              <w:outlineLvl w:val="2"/>
            </w:pPr>
            <w:r w:rsidRPr="003F144D">
              <w:rPr>
                <w:rFonts w:hint="eastAsia"/>
              </w:rPr>
              <w:t>平安银行总体发展战略</w:t>
            </w:r>
          </w:p>
          <w:p w:rsidR="003F144D" w:rsidRPr="003F144D" w:rsidRDefault="003F144D" w:rsidP="003F144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【总体愿景</w:t>
            </w:r>
            <w:r w:rsidRPr="003F144D">
              <w:rPr>
                <w:rFonts w:ascii="Arial" w:eastAsia="华文细黑" w:hAnsi="Arial"/>
                <w:b/>
                <w:sz w:val="21"/>
                <w:szCs w:val="21"/>
              </w:rPr>
              <w:t>】</w:t>
            </w: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：</w:t>
            </w:r>
            <w:r w:rsidRPr="003F144D">
              <w:rPr>
                <w:rFonts w:ascii="Arial" w:eastAsia="华文细黑" w:hAnsi="Arial" w:hint="eastAsia"/>
                <w:sz w:val="21"/>
                <w:szCs w:val="21"/>
              </w:rPr>
              <w:t>以零售为核心，对公、同业协同发展，打造领先的智能化零售银行。</w:t>
            </w:r>
          </w:p>
          <w:p w:rsidR="003F144D" w:rsidRPr="003F144D" w:rsidRDefault="003F144D" w:rsidP="003F144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【关键策略</w:t>
            </w:r>
            <w:r w:rsidRPr="003F144D">
              <w:rPr>
                <w:rFonts w:ascii="Arial" w:eastAsia="华文细黑" w:hAnsi="Arial"/>
                <w:b/>
                <w:sz w:val="21"/>
                <w:szCs w:val="21"/>
              </w:rPr>
              <w:t>】</w:t>
            </w: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：</w:t>
            </w:r>
            <w:r w:rsidRPr="003F144D">
              <w:rPr>
                <w:rFonts w:ascii="Arial" w:eastAsia="华文细黑" w:hAnsi="Arial" w:hint="eastAsia"/>
                <w:sz w:val="21"/>
                <w:szCs w:val="21"/>
              </w:rPr>
              <w:t>科技引领、零售突破、对公做精。</w:t>
            </w:r>
          </w:p>
          <w:p w:rsidR="003F144D" w:rsidRPr="003F144D" w:rsidRDefault="003F144D" w:rsidP="003F144D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1</w:t>
            </w: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）科技引领：</w:t>
            </w:r>
            <w:r w:rsidRPr="003F144D">
              <w:rPr>
                <w:rFonts w:ascii="Arial" w:eastAsia="华文细黑" w:hAnsi="Arial" w:hint="eastAsia"/>
                <w:sz w:val="21"/>
                <w:szCs w:val="21"/>
              </w:rPr>
              <w:t>科技是转型的核心驱动力，零售方面着力打造“领先的智能化零售银行”，对公利用大数据和互联网技术打造批量化获客和服务的平台。</w:t>
            </w:r>
          </w:p>
          <w:p w:rsidR="003F144D" w:rsidRPr="003F144D" w:rsidRDefault="003F144D" w:rsidP="003F144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2</w:t>
            </w: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）零售突破：</w:t>
            </w:r>
            <w:r w:rsidRPr="003F144D">
              <w:rPr>
                <w:rFonts w:ascii="Arial" w:eastAsia="华文细黑" w:hAnsi="Arial" w:hint="eastAsia"/>
                <w:sz w:val="21"/>
                <w:szCs w:val="21"/>
              </w:rPr>
              <w:t>全面支持零售，依托新模式，用好多种渠道，打造“领先的智能化零售银行”，实现零售指标的增长。</w:t>
            </w:r>
          </w:p>
          <w:p w:rsidR="003F144D" w:rsidRPr="003F144D" w:rsidRDefault="003F144D" w:rsidP="003F144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3</w:t>
            </w:r>
            <w:r w:rsidRPr="003F144D">
              <w:rPr>
                <w:rFonts w:ascii="Arial" w:eastAsia="华文细黑" w:hAnsi="Arial" w:hint="eastAsia"/>
                <w:b/>
                <w:sz w:val="21"/>
                <w:szCs w:val="21"/>
              </w:rPr>
              <w:t>）对公做精：</w:t>
            </w:r>
            <w:r w:rsidRPr="003F144D">
              <w:rPr>
                <w:rFonts w:ascii="Arial" w:eastAsia="华文细黑" w:hAnsi="Arial" w:hint="eastAsia"/>
                <w:sz w:val="21"/>
                <w:szCs w:val="21"/>
              </w:rPr>
              <w:t>注重价值与质量转型。精选行业，做深、做专、做精。坚持“双轻”理念，依托新模式，做“精品公司银行”。</w:t>
            </w:r>
            <w:r w:rsidRPr="003F144D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</w:p>
          <w:p w:rsidR="003F144D" w:rsidRPr="003F144D" w:rsidRDefault="003F144D" w:rsidP="003F144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F144D" w:rsidRPr="00AA5A95" w:rsidRDefault="003F144D" w:rsidP="00AA5A95">
            <w:pPr>
              <w:pStyle w:val="3"/>
              <w:spacing w:beforeLines="0" w:before="0" w:afterLines="20" w:after="62"/>
              <w:outlineLvl w:val="2"/>
              <w:rPr>
                <w:sz w:val="21"/>
                <w:szCs w:val="21"/>
              </w:rPr>
            </w:pPr>
            <w:r w:rsidRPr="00AA5A95">
              <w:rPr>
                <w:rFonts w:hint="eastAsia"/>
                <w:sz w:val="21"/>
                <w:szCs w:val="21"/>
              </w:rPr>
              <w:t xml:space="preserve">新战略有什么变化？ </w:t>
            </w:r>
          </w:p>
          <w:p w:rsidR="003F144D" w:rsidRPr="00AA5A95" w:rsidRDefault="003F144D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从四轮驱动、平均用力到零售为核心，对公、同业协同发展，打造领先的智能化零售银行。主要体现在三个方面：</w:t>
            </w:r>
          </w:p>
          <w:p w:rsidR="003F144D" w:rsidRPr="00AA5A95" w:rsidRDefault="003F144D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（</w:t>
            </w:r>
            <w:r w:rsidRPr="00AA5A95">
              <w:rPr>
                <w:rFonts w:ascii="Arial" w:eastAsia="华文细黑" w:hAnsi="Arial"/>
                <w:b/>
                <w:sz w:val="21"/>
                <w:szCs w:val="21"/>
              </w:rPr>
              <w:t>1</w:t>
            </w:r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）真正地拥抱集团，尤其拥抱寿险。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目前全行的业务同仁都坚定了转型信念，并且已经通过拥抱寿险深刻感受到业务的变化，综拓渠道在零售客户数、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AUM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、信用卡发卡、新一贷等方面的贡献都是非常显著的。</w:t>
            </w:r>
          </w:p>
          <w:p w:rsidR="003F144D" w:rsidRPr="00AA5A95" w:rsidRDefault="003F144D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（</w:t>
            </w:r>
            <w:r w:rsidRPr="00AA5A95">
              <w:rPr>
                <w:rFonts w:ascii="Arial" w:eastAsia="华文细黑" w:hAnsi="Arial"/>
                <w:b/>
                <w:sz w:val="21"/>
                <w:szCs w:val="21"/>
              </w:rPr>
              <w:t>2</w:t>
            </w:r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）真正走向智能化方向。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零售主帅是互联网背景的人才，建立了一支零售专属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IT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团队。</w:t>
            </w:r>
          </w:p>
          <w:p w:rsidR="003F144D" w:rsidRDefault="003F144D" w:rsidP="00AA5A9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（</w:t>
            </w:r>
            <w:r w:rsidRPr="00AA5A95">
              <w:rPr>
                <w:rFonts w:ascii="Arial" w:eastAsia="华文细黑" w:hAnsi="Arial"/>
                <w:b/>
                <w:sz w:val="21"/>
                <w:szCs w:val="21"/>
              </w:rPr>
              <w:t>3</w:t>
            </w:r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）队伍自信心增强，数据体现转型路径是正确的。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上半年客户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数、零售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AUM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、存款、贷款等指标增速均为行业领先。</w:t>
            </w:r>
          </w:p>
          <w:p w:rsidR="004F6F03" w:rsidRPr="004F6F03" w:rsidRDefault="004F6F03" w:rsidP="00AA5A9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仿宋_GB2312"/>
                <w:sz w:val="21"/>
                <w:szCs w:val="21"/>
              </w:rPr>
            </w:pPr>
          </w:p>
          <w:p w:rsidR="002B4EAA" w:rsidRPr="00AA5A95" w:rsidRDefault="00A87A56" w:rsidP="00AA5A95">
            <w:pPr>
              <w:pStyle w:val="3"/>
              <w:spacing w:beforeLines="0" w:before="0" w:afterLines="20" w:after="62"/>
              <w:outlineLvl w:val="2"/>
              <w:rPr>
                <w:sz w:val="21"/>
                <w:szCs w:val="21"/>
              </w:rPr>
            </w:pPr>
            <w:bookmarkStart w:id="0" w:name="_Toc464720575"/>
            <w:bookmarkStart w:id="1" w:name="_Toc464590920"/>
            <w:bookmarkStart w:id="2" w:name="_Toc464720594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  <w:r w:rsidRPr="00AA5A95">
              <w:rPr>
                <w:sz w:val="21"/>
                <w:szCs w:val="21"/>
              </w:rPr>
              <w:t>贵行非息收入增长的主要动力？未来</w:t>
            </w:r>
            <w:r w:rsidRPr="00AA5A95">
              <w:rPr>
                <w:rFonts w:hint="eastAsia"/>
                <w:sz w:val="21"/>
                <w:szCs w:val="21"/>
              </w:rPr>
              <w:t>趋势</w:t>
            </w:r>
            <w:r w:rsidRPr="00AA5A95">
              <w:rPr>
                <w:sz w:val="21"/>
                <w:szCs w:val="21"/>
              </w:rPr>
              <w:t>？</w:t>
            </w:r>
            <w:bookmarkEnd w:id="0"/>
          </w:p>
          <w:p w:rsidR="002B4EAA" w:rsidRPr="00AA5A95" w:rsidRDefault="002B4EAA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截至报告期末，我行实现非利息净收入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167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亿元，同比减少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4.62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亿元，降幅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2.69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。其中，手续费净收入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157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亿元，同比增加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6.99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亿元，增幅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4.64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B4EAA" w:rsidRPr="00AA5A95" w:rsidRDefault="002B4EAA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b/>
                <w:sz w:val="21"/>
                <w:szCs w:val="21"/>
              </w:rPr>
            </w:pPr>
            <w:bookmarkStart w:id="9" w:name="_Toc448833290"/>
            <w:bookmarkStart w:id="10" w:name="_Toc464590902"/>
            <w:r w:rsidRPr="00AA5A95">
              <w:rPr>
                <w:rFonts w:ascii="Arial" w:eastAsia="华文细黑" w:hAnsi="Arial" w:hint="eastAsia"/>
                <w:b/>
                <w:sz w:val="21"/>
                <w:szCs w:val="21"/>
              </w:rPr>
              <w:t>【未来趋势】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未来我行将致力于通过三大关键策略打造领先的智能化零售银行，向零售全面转型，对公和同业协同发展。利用公私联动，持续提升银行的创新能力和服务品质，</w:t>
            </w:r>
            <w:bookmarkEnd w:id="9"/>
            <w:bookmarkEnd w:id="10"/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支持零售业务发展，助力增加非息收入。</w:t>
            </w:r>
          </w:p>
          <w:p w:rsidR="00A87A56" w:rsidRPr="003F144D" w:rsidRDefault="00A87A56" w:rsidP="003F144D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 Unicode MS"/>
                <w:sz w:val="21"/>
                <w:szCs w:val="21"/>
                <w:lang w:eastAsia="zh-CN"/>
              </w:rPr>
            </w:pPr>
          </w:p>
          <w:p w:rsidR="00A87A56" w:rsidRPr="00AA5A95" w:rsidRDefault="00A87A56" w:rsidP="00AA5A95">
            <w:pPr>
              <w:pStyle w:val="3"/>
              <w:spacing w:beforeLines="0" w:before="0" w:afterLines="20" w:after="62"/>
              <w:outlineLvl w:val="2"/>
              <w:rPr>
                <w:rFonts w:ascii="Arial" w:eastAsia="华文细黑" w:hAnsi="Arial"/>
                <w:sz w:val="21"/>
              </w:rPr>
            </w:pPr>
            <w:bookmarkStart w:id="11" w:name="_Toc464720577"/>
            <w:r w:rsidRPr="00AA5A95">
              <w:rPr>
                <w:rFonts w:ascii="Arial" w:eastAsia="华文细黑" w:hAnsi="Arial"/>
                <w:sz w:val="21"/>
              </w:rPr>
              <w:t>贵行成本收入比主要是在哪些费用方面的优化？未来是否可以持续？</w:t>
            </w:r>
            <w:bookmarkEnd w:id="11"/>
          </w:p>
          <w:p w:rsidR="002B4EAA" w:rsidRPr="00AA5A95" w:rsidRDefault="002B4EAA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bookmarkStart w:id="12" w:name="_Toc448833292"/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随着银行专业化经营优势逐步体现，以及主动加强成本管控，推进财务精细化管理，我行成本收入比稳步下降。截至报告期末，成本收入比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24.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76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，较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2016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年度下降</w:t>
            </w:r>
            <w:r w:rsidRPr="00AA5A95">
              <w:rPr>
                <w:rFonts w:ascii="Arial" w:eastAsia="华文细黑" w:hAnsi="Arial"/>
                <w:sz w:val="21"/>
                <w:szCs w:val="21"/>
              </w:rPr>
              <w:t>1.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21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个百分点，同比下降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4.04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个百分点。已经达到行业较优水平。</w:t>
            </w:r>
          </w:p>
          <w:p w:rsidR="00A87A56" w:rsidRDefault="002B4EAA" w:rsidP="00AA5A9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随着零售转型成果逐步体现，希望未来成本收入比保持在行业较优水平。</w:t>
            </w:r>
          </w:p>
          <w:p w:rsidR="00AA5A95" w:rsidRPr="00AA5A95" w:rsidRDefault="00AA5A95" w:rsidP="004F6F03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AA5A95" w:rsidRPr="00AA5A95" w:rsidRDefault="00AA5A95" w:rsidP="00AA5A95">
            <w:pPr>
              <w:pStyle w:val="3"/>
              <w:spacing w:beforeLines="0" w:before="0" w:afterLines="20" w:after="62"/>
              <w:outlineLvl w:val="2"/>
              <w:rPr>
                <w:rFonts w:ascii="Arial" w:eastAsia="华文细黑" w:hAnsi="Arial"/>
                <w:sz w:val="21"/>
                <w:szCs w:val="21"/>
              </w:rPr>
            </w:pPr>
            <w:bookmarkStart w:id="13" w:name="_Toc496018961"/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网点规划</w:t>
            </w:r>
            <w:bookmarkEnd w:id="13"/>
          </w:p>
          <w:p w:rsidR="00AA5A95" w:rsidRPr="00AA5A95" w:rsidRDefault="00AA5A95" w:rsidP="00AA5A9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截至报告期末，我行共有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68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家分行，合计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1080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家营业机构。未来我行网点将转为以零售业务为主，推动“不排队的银行”改造项目和客户经理积分制考核，提升客户体验。</w:t>
            </w:r>
          </w:p>
          <w:p w:rsidR="00AA5A95" w:rsidRPr="00AA5A95" w:rsidRDefault="00AA5A95" w:rsidP="004F6F03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/>
                <w:sz w:val="21"/>
                <w:szCs w:val="21"/>
                <w:lang w:val="en-US" w:eastAsia="zh-CN"/>
              </w:rPr>
            </w:pPr>
          </w:p>
          <w:bookmarkEnd w:id="12"/>
          <w:p w:rsidR="00A87A56" w:rsidRPr="00AA5A95" w:rsidRDefault="00A87A56" w:rsidP="00AA5A95">
            <w:pPr>
              <w:pStyle w:val="3"/>
              <w:spacing w:beforeLines="0" w:before="0" w:afterLines="20" w:after="62"/>
              <w:outlineLvl w:val="2"/>
              <w:rPr>
                <w:sz w:val="21"/>
                <w:szCs w:val="21"/>
              </w:rPr>
            </w:pPr>
            <w:r w:rsidRPr="00AA5A95">
              <w:rPr>
                <w:sz w:val="21"/>
                <w:szCs w:val="21"/>
              </w:rPr>
              <w:t>不良贷款增长原因分析及未来趋势？</w:t>
            </w:r>
            <w:bookmarkEnd w:id="1"/>
            <w:bookmarkEnd w:id="2"/>
            <w:r w:rsidRPr="00AA5A95">
              <w:rPr>
                <w:sz w:val="21"/>
                <w:szCs w:val="21"/>
              </w:rPr>
              <w:t xml:space="preserve"> </w:t>
            </w:r>
          </w:p>
          <w:p w:rsidR="00A87A56" w:rsidRPr="00AA5A95" w:rsidRDefault="00803207" w:rsidP="00AA5A95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截至报告期末，我行不良率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1.76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％，比年初增加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0.02</w:t>
            </w: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个百分点，不良贷款主要集中在制造业和零售经营性贷款。</w:t>
            </w:r>
          </w:p>
          <w:p w:rsidR="00AA5A95" w:rsidRPr="00AA5A95" w:rsidRDefault="00AA5A95" w:rsidP="004F6F03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A87A56" w:rsidRPr="00AA5A95" w:rsidRDefault="00A87A56" w:rsidP="00AA5A95">
            <w:pPr>
              <w:pStyle w:val="3"/>
              <w:spacing w:beforeLines="0" w:before="0" w:afterLines="20" w:after="62"/>
              <w:outlineLvl w:val="2"/>
              <w:rPr>
                <w:rFonts w:ascii="Arial" w:eastAsia="华文细黑" w:hAnsi="Arial"/>
                <w:sz w:val="21"/>
                <w:szCs w:val="21"/>
              </w:rPr>
            </w:pPr>
            <w:r w:rsidRPr="00AA5A95">
              <w:rPr>
                <w:rFonts w:ascii="Arial" w:eastAsia="华文细黑" w:hAnsi="Arial" w:hint="eastAsia"/>
                <w:sz w:val="21"/>
                <w:szCs w:val="21"/>
              </w:rPr>
              <w:t>未来资本规划</w:t>
            </w:r>
            <w:bookmarkEnd w:id="3"/>
            <w:bookmarkEnd w:id="4"/>
          </w:p>
          <w:p w:rsidR="00A87A56" w:rsidRPr="00AA5A95" w:rsidRDefault="00A87A56" w:rsidP="00AA5A95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eastAsia="华文细黑" w:hAnsi="Arial"/>
                <w:smallCaps/>
                <w:sz w:val="21"/>
                <w:szCs w:val="21"/>
              </w:rPr>
            </w:pPr>
            <w:r w:rsidRPr="00AA5A95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我行在</w:t>
            </w:r>
            <w:r w:rsidRPr="00AA5A95">
              <w:rPr>
                <w:rStyle w:val="a8"/>
                <w:rFonts w:ascii="Arial" w:eastAsia="华文细黑" w:hAnsi="Arial"/>
                <w:sz w:val="21"/>
                <w:szCs w:val="21"/>
              </w:rPr>
              <w:t>2015</w:t>
            </w:r>
            <w:r w:rsidRPr="00AA5A95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年和</w:t>
            </w:r>
            <w:r w:rsidRPr="00AA5A95">
              <w:rPr>
                <w:rStyle w:val="a8"/>
                <w:rFonts w:ascii="Arial" w:eastAsia="华文细黑" w:hAnsi="Arial"/>
                <w:sz w:val="21"/>
                <w:szCs w:val="21"/>
              </w:rPr>
              <w:t>2016</w:t>
            </w:r>
            <w:r w:rsidRPr="00AA5A95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年通过定增、优先股、二级债等手段补充资本后，目前资本充足率各项指标符合监管要求。未来，随着央行</w:t>
            </w:r>
            <w:r w:rsidRPr="00AA5A95">
              <w:rPr>
                <w:rStyle w:val="a8"/>
                <w:rFonts w:ascii="Arial" w:eastAsia="华文细黑" w:hAnsi="Arial"/>
                <w:sz w:val="21"/>
                <w:szCs w:val="21"/>
              </w:rPr>
              <w:t>MPA</w:t>
            </w:r>
            <w:r w:rsidRPr="00AA5A95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监管体系的实施，以及银行自身业务的发展和零售战略转型的需要，我行将在保障现有股东权益的前提下，提前做好资本规划、科学运用多种手段、合理推动资本补充。但是目前尚无应披露而未披露的信息。</w:t>
            </w:r>
          </w:p>
          <w:bookmarkEnd w:id="5"/>
          <w:bookmarkEnd w:id="6"/>
          <w:bookmarkEnd w:id="7"/>
          <w:bookmarkEnd w:id="8"/>
          <w:p w:rsidR="008B3EDE" w:rsidRPr="00AA5A95" w:rsidRDefault="008B3EDE" w:rsidP="00AA5A95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  <w:lang w:eastAsia="zh-TW"/>
              </w:rPr>
            </w:pPr>
          </w:p>
          <w:p w:rsidR="00CC12EA" w:rsidRPr="003F144D" w:rsidRDefault="00A140B8" w:rsidP="00AA5A95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4"/>
                <w:lang w:val="zh-TW"/>
              </w:rPr>
            </w:pPr>
            <w:r w:rsidRPr="00AA5A95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3F144D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3F144D" w:rsidRDefault="00EE1C10" w:rsidP="008F16A2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4"/>
              </w:rPr>
            </w:pPr>
            <w:r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3F144D" w:rsidRDefault="006B0B04" w:rsidP="00E055AC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4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2017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年三季度业绩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  <w:bookmarkStart w:id="14" w:name="_GoBack"/>
            <w:bookmarkEnd w:id="14"/>
          </w:p>
        </w:tc>
      </w:tr>
      <w:tr w:rsidR="00EE1C10" w:rsidRPr="003F144D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3F144D" w:rsidRDefault="00EE1C10" w:rsidP="008F16A2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4"/>
              </w:rPr>
            </w:pPr>
            <w:r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3F144D" w:rsidRDefault="00761259" w:rsidP="003F144D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4"/>
              </w:rPr>
            </w:pPr>
            <w:r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t>201</w:t>
            </w:r>
            <w:r w:rsidR="003F144D"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t>8.1</w:t>
            </w:r>
            <w:r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t>.</w:t>
            </w:r>
            <w:r w:rsidR="00E055AC" w:rsidRPr="003F144D">
              <w:rPr>
                <w:rFonts w:ascii="Arial" w:eastAsia="华文细黑" w:hAnsi="Arial" w:hint="eastAsia"/>
                <w:bCs/>
                <w:iCs/>
                <w:color w:val="000000"/>
                <w:sz w:val="24"/>
              </w:rPr>
              <w:t>4</w:t>
            </w:r>
          </w:p>
        </w:tc>
      </w:tr>
    </w:tbl>
    <w:p w:rsidR="00941F1C" w:rsidRPr="003F144D" w:rsidRDefault="00941F1C" w:rsidP="00862CF2">
      <w:pPr>
        <w:rPr>
          <w:rFonts w:ascii="Arial" w:eastAsia="华文细黑" w:hAnsi="Arial"/>
        </w:rPr>
      </w:pPr>
    </w:p>
    <w:sectPr w:rsidR="00941F1C" w:rsidRPr="003F144D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A" w:rsidRDefault="00B454CA" w:rsidP="00D96584">
      <w:r>
        <w:separator/>
      </w:r>
    </w:p>
  </w:endnote>
  <w:endnote w:type="continuationSeparator" w:id="0">
    <w:p w:rsidR="00B454CA" w:rsidRDefault="00B454CA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A" w:rsidRDefault="00B454CA" w:rsidP="00D96584">
      <w:r>
        <w:separator/>
      </w:r>
    </w:p>
  </w:footnote>
  <w:footnote w:type="continuationSeparator" w:id="0">
    <w:p w:rsidR="00B454CA" w:rsidRDefault="00B454CA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5D16322"/>
    <w:multiLevelType w:val="hybridMultilevel"/>
    <w:tmpl w:val="7A9C2100"/>
    <w:lvl w:ilvl="0" w:tplc="81CE3D0C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9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4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6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0"/>
  </w:num>
  <w:num w:numId="13">
    <w:abstractNumId w:val="7"/>
  </w:num>
  <w:num w:numId="14">
    <w:abstractNumId w:val="26"/>
  </w:num>
  <w:num w:numId="15">
    <w:abstractNumId w:val="15"/>
  </w:num>
  <w:num w:numId="16">
    <w:abstractNumId w:val="16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5"/>
  </w:num>
  <w:num w:numId="26">
    <w:abstractNumId w:val="12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D2529"/>
    <w:rsid w:val="001D5474"/>
    <w:rsid w:val="001E2C63"/>
    <w:rsid w:val="00210939"/>
    <w:rsid w:val="00217D1A"/>
    <w:rsid w:val="002515C0"/>
    <w:rsid w:val="002B200E"/>
    <w:rsid w:val="002B4EAA"/>
    <w:rsid w:val="002B5D00"/>
    <w:rsid w:val="003317E5"/>
    <w:rsid w:val="00375010"/>
    <w:rsid w:val="003B107D"/>
    <w:rsid w:val="003B721F"/>
    <w:rsid w:val="003C375D"/>
    <w:rsid w:val="003F144D"/>
    <w:rsid w:val="003F79D6"/>
    <w:rsid w:val="00413B4B"/>
    <w:rsid w:val="0043629D"/>
    <w:rsid w:val="0045059E"/>
    <w:rsid w:val="00497C7E"/>
    <w:rsid w:val="004B47B1"/>
    <w:rsid w:val="004F6F03"/>
    <w:rsid w:val="00511122"/>
    <w:rsid w:val="0051123B"/>
    <w:rsid w:val="00535D6F"/>
    <w:rsid w:val="00550FD9"/>
    <w:rsid w:val="00622C3A"/>
    <w:rsid w:val="00623A26"/>
    <w:rsid w:val="0063326E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45B88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5679"/>
    <w:rsid w:val="009F13CD"/>
    <w:rsid w:val="00A06B39"/>
    <w:rsid w:val="00A140B8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55AC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C32FA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AA5A95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100" w:before="312" w:afterLines="50" w:after="156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AA5A95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248</Words>
  <Characters>1420</Characters>
  <Application>Microsoft Office Word</Application>
  <DocSecurity>0</DocSecurity>
  <Lines>11</Lines>
  <Paragraphs>3</Paragraphs>
  <ScaleCrop>false</ScaleCrop>
  <Company>sdb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李稀真</cp:lastModifiedBy>
  <cp:revision>15</cp:revision>
  <dcterms:created xsi:type="dcterms:W3CDTF">2017-02-07T03:23:00Z</dcterms:created>
  <dcterms:modified xsi:type="dcterms:W3CDTF">2018-04-16T01:33:00Z</dcterms:modified>
</cp:coreProperties>
</file>