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7F" w:rsidRDefault="00966F7F" w:rsidP="00E2528A">
      <w:pPr>
        <w:spacing w:beforeLines="50" w:afterLines="50" w:line="400" w:lineRule="exact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证券代码：000031                        证券简称：中粮地产</w:t>
      </w:r>
    </w:p>
    <w:p w:rsidR="00966F7F" w:rsidRPr="004C2E23" w:rsidRDefault="00966F7F" w:rsidP="00E2528A">
      <w:pPr>
        <w:spacing w:beforeLines="50" w:afterLines="50" w:line="400" w:lineRule="exact"/>
        <w:jc w:val="center"/>
        <w:rPr>
          <w:rFonts w:ascii="黑体" w:eastAsia="黑体" w:hAnsi="黑体"/>
          <w:bCs/>
          <w:iCs/>
          <w:color w:val="000000"/>
          <w:sz w:val="28"/>
          <w:szCs w:val="28"/>
        </w:rPr>
      </w:pPr>
      <w:r w:rsidRPr="004C2E23">
        <w:rPr>
          <w:rFonts w:ascii="黑体" w:eastAsia="黑体" w:hAnsi="黑体" w:hint="eastAsia"/>
          <w:bCs/>
          <w:iCs/>
          <w:color w:val="000000"/>
          <w:sz w:val="28"/>
          <w:szCs w:val="28"/>
        </w:rPr>
        <w:t>中粮地产（集团）股份有限公司投资者关系活动记录表</w:t>
      </w:r>
    </w:p>
    <w:p w:rsidR="00966F7F" w:rsidRDefault="00966F7F" w:rsidP="00E45CCD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 w:rsidRPr="00E45CCD">
        <w:rPr>
          <w:rFonts w:ascii="宋体" w:hAnsi="宋体" w:hint="eastAsia"/>
          <w:bCs/>
          <w:iCs/>
          <w:color w:val="000000"/>
          <w:sz w:val="24"/>
        </w:rPr>
        <w:t>编号：</w:t>
      </w:r>
      <w:r w:rsidR="002F38E0" w:rsidRPr="00E45CCD">
        <w:rPr>
          <w:rFonts w:ascii="宋体" w:hAnsi="宋体" w:hint="eastAsia"/>
          <w:bCs/>
          <w:iCs/>
          <w:color w:val="000000"/>
          <w:sz w:val="24"/>
        </w:rPr>
        <w:t>201</w:t>
      </w:r>
      <w:r w:rsidR="00C54530">
        <w:rPr>
          <w:rFonts w:ascii="宋体" w:hAnsi="宋体" w:hint="eastAsia"/>
          <w:bCs/>
          <w:iCs/>
          <w:color w:val="000000"/>
          <w:sz w:val="24"/>
        </w:rPr>
        <w:t>8</w:t>
      </w:r>
      <w:r w:rsidR="00951E64">
        <w:rPr>
          <w:rFonts w:ascii="宋体" w:hAnsi="宋体" w:hint="eastAsia"/>
          <w:bCs/>
          <w:iCs/>
          <w:color w:val="000000"/>
          <w:sz w:val="24"/>
        </w:rPr>
        <w:t>-00</w:t>
      </w:r>
      <w:r w:rsidR="00591C21">
        <w:rPr>
          <w:rFonts w:ascii="宋体" w:hAnsi="宋体" w:hint="eastAsia"/>
          <w:bCs/>
          <w:iCs/>
          <w:color w:val="000000"/>
          <w:sz w:val="24"/>
        </w:rPr>
        <w:t>4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7229"/>
      </w:tblGrid>
      <w:tr w:rsidR="00966F7F" w:rsidRPr="00E213EC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6831C9">
            <w:pPr>
              <w:spacing w:line="27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F" w:rsidRPr="004C2E23" w:rsidRDefault="00FA0B97" w:rsidP="001A08B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966F7F" w:rsidRPr="004C2E23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966F7F"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966F7F" w:rsidRPr="004C2E23">
              <w:rPr>
                <w:rFonts w:ascii="宋体" w:hAnsi="宋体" w:hint="eastAsia"/>
                <w:sz w:val="24"/>
              </w:rPr>
              <w:t>分析师会议</w:t>
            </w:r>
          </w:p>
          <w:p w:rsidR="00966F7F" w:rsidRPr="004C2E23" w:rsidRDefault="00966F7F" w:rsidP="001A08B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4C2E23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4C2E23">
              <w:rPr>
                <w:rFonts w:ascii="宋体" w:hAnsi="宋体" w:hint="eastAsia"/>
                <w:sz w:val="24"/>
              </w:rPr>
              <w:t>业绩说明会</w:t>
            </w:r>
          </w:p>
          <w:p w:rsidR="00966F7F" w:rsidRPr="004C2E23" w:rsidRDefault="00966F7F" w:rsidP="001A08B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4C2E23">
              <w:rPr>
                <w:rFonts w:ascii="宋体" w:hAnsi="宋体" w:hint="eastAsia"/>
                <w:sz w:val="24"/>
              </w:rPr>
              <w:t xml:space="preserve">新闻发布会          </w:t>
            </w:r>
            <w:r w:rsidR="00FA0B97"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4C2E23">
              <w:rPr>
                <w:rFonts w:ascii="宋体" w:hAnsi="宋体" w:hint="eastAsia"/>
                <w:sz w:val="24"/>
              </w:rPr>
              <w:t>路演活动</w:t>
            </w:r>
          </w:p>
          <w:p w:rsidR="00966F7F" w:rsidRPr="004C2E23" w:rsidRDefault="00966F7F" w:rsidP="001A08B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4C2E23">
              <w:rPr>
                <w:rFonts w:ascii="宋体" w:hAnsi="宋体" w:hint="eastAsia"/>
                <w:sz w:val="24"/>
              </w:rPr>
              <w:t>现场参观</w:t>
            </w:r>
            <w:r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966F7F" w:rsidRPr="004C2E23" w:rsidRDefault="00966F7F" w:rsidP="001A08BA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C2E2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4C2E23">
              <w:rPr>
                <w:rFonts w:ascii="宋体" w:hAnsi="宋体" w:hint="eastAsia"/>
                <w:sz w:val="24"/>
              </w:rPr>
              <w:t>其他 （</w:t>
            </w:r>
            <w:proofErr w:type="gramStart"/>
            <w:r w:rsidRPr="004C2E23"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 w:rsidRPr="004C2E23">
              <w:rPr>
                <w:rFonts w:ascii="宋体" w:hAnsi="宋体" w:hint="eastAsia"/>
                <w:sz w:val="24"/>
                <w:u w:val="single"/>
              </w:rPr>
              <w:t>说明其他活动内容）</w:t>
            </w:r>
          </w:p>
        </w:tc>
      </w:tr>
      <w:tr w:rsidR="00966F7F" w:rsidRPr="00280AA5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6831C9">
            <w:pPr>
              <w:spacing w:line="27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F5" w:rsidRPr="00E45CCD" w:rsidRDefault="00591C21" w:rsidP="0097048C">
            <w:pPr>
              <w:spacing w:line="27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中泰证券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周子涵</w:t>
            </w:r>
            <w:proofErr w:type="gramEnd"/>
          </w:p>
        </w:tc>
      </w:tr>
      <w:tr w:rsidR="00966F7F" w:rsidRPr="00280AA5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C3666D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F" w:rsidRPr="004C2E23" w:rsidRDefault="00966F7F" w:rsidP="00591C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C54530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372319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FA0B97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97048C"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 w:rsidR="00F15DDE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="00591C21">
              <w:rPr>
                <w:rFonts w:ascii="宋体" w:hAnsi="宋体" w:hint="eastAsia"/>
                <w:bCs/>
                <w:iCs/>
                <w:color w:val="000000"/>
                <w:sz w:val="24"/>
              </w:rPr>
              <w:t>15</w:t>
            </w:r>
            <w:r w:rsidR="00962DAD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8665C0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A75962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962DAD"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97048C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591C21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="00962DAD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91C21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A75962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966F7F" w:rsidRPr="00280AA5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C3666D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F" w:rsidRPr="004C2E23" w:rsidRDefault="00966F7F" w:rsidP="001A08B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深圳市福田区福华一路1号大中华国际交易广场35层会议室</w:t>
            </w:r>
          </w:p>
        </w:tc>
      </w:tr>
      <w:tr w:rsidR="00966F7F" w:rsidRPr="00280AA5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6831C9">
            <w:pPr>
              <w:spacing w:line="27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B" w:rsidRDefault="009079F3" w:rsidP="006831C9">
            <w:pPr>
              <w:spacing w:line="27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</w:t>
            </w:r>
            <w:r w:rsidR="001A63D2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代表 </w:t>
            </w:r>
            <w:r w:rsidR="000C7A2F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1A63D2">
              <w:rPr>
                <w:rFonts w:ascii="宋体" w:hAnsi="宋体" w:hint="eastAsia"/>
                <w:bCs/>
                <w:iCs/>
                <w:color w:val="000000"/>
                <w:sz w:val="24"/>
              </w:rPr>
              <w:t>范步登</w:t>
            </w:r>
          </w:p>
          <w:p w:rsidR="008665C0" w:rsidRPr="004C2E23" w:rsidRDefault="00EF2EE3" w:rsidP="00C54530">
            <w:pPr>
              <w:spacing w:line="27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证券事务部</w:t>
            </w:r>
            <w:r w:rsidR="000C7A2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0C7A2F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 w:rsidR="00C54530">
              <w:rPr>
                <w:rFonts w:ascii="宋体" w:hAnsi="宋体" w:hint="eastAsia"/>
                <w:bCs/>
                <w:iCs/>
                <w:color w:val="000000"/>
                <w:sz w:val="24"/>
              </w:rPr>
              <w:t>柳依嘉</w:t>
            </w:r>
            <w:proofErr w:type="gramEnd"/>
          </w:p>
        </w:tc>
      </w:tr>
      <w:tr w:rsidR="00966F7F" w:rsidRPr="00B818B3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C3666D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97" w:rsidRDefault="008D0573" w:rsidP="00FA0B97">
            <w:pPr>
              <w:adjustRightInd w:val="0"/>
              <w:snapToGrid w:val="0"/>
              <w:spacing w:line="360" w:lineRule="auto"/>
              <w:ind w:firstLine="482"/>
              <w:rPr>
                <w:rFonts w:ascii="宋体" w:hAnsi="宋体"/>
                <w:b/>
                <w:kern w:val="0"/>
                <w:sz w:val="24"/>
              </w:rPr>
            </w:pPr>
            <w:r w:rsidRPr="008D0573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kern w:val="0"/>
                <w:sz w:val="24"/>
              </w:rPr>
              <w:t>1、</w:t>
            </w:r>
            <w:r w:rsidRPr="00821CB8">
              <w:rPr>
                <w:rFonts w:ascii="宋体" w:hAnsi="宋体"/>
                <w:b/>
                <w:kern w:val="0"/>
                <w:sz w:val="24"/>
              </w:rPr>
              <w:t>关于</w:t>
            </w:r>
            <w:r w:rsidR="00C54530">
              <w:rPr>
                <w:rFonts w:ascii="宋体" w:hAnsi="宋体" w:hint="eastAsia"/>
                <w:b/>
                <w:kern w:val="0"/>
                <w:sz w:val="24"/>
              </w:rPr>
              <w:t>本次重大资产重组</w:t>
            </w:r>
            <w:r w:rsidR="0097048C">
              <w:rPr>
                <w:rFonts w:ascii="宋体" w:hAnsi="宋体" w:hint="eastAsia"/>
                <w:b/>
                <w:kern w:val="0"/>
                <w:sz w:val="24"/>
              </w:rPr>
              <w:t>交易对价及定价原则</w:t>
            </w:r>
          </w:p>
          <w:p w:rsidR="005F4378" w:rsidRPr="00AE26AC" w:rsidRDefault="008837C4" w:rsidP="00AE26A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C54530">
              <w:rPr>
                <w:rFonts w:ascii="宋体" w:hAnsi="宋体" w:hint="eastAsia"/>
                <w:kern w:val="0"/>
                <w:sz w:val="24"/>
              </w:rPr>
              <w:t>公司拟以发行股份方式向明毅有限公司购买大悦城地产有限公司（以下简称“大悦城地产”）9,133,667,644股普通股股份（占大悦城地产已发行普通股股份总数的64.18%，占大悦城地产已发行普通股及可转换优先股合计股份数的59.59%）。同时，中粮地产拟采用询价方式向不超过10</w:t>
            </w:r>
            <w:proofErr w:type="gramStart"/>
            <w:r w:rsidRPr="00C54530">
              <w:rPr>
                <w:rFonts w:ascii="宋体" w:hAnsi="宋体" w:hint="eastAsia"/>
                <w:kern w:val="0"/>
                <w:sz w:val="24"/>
              </w:rPr>
              <w:t>名特定</w:t>
            </w:r>
            <w:proofErr w:type="gramEnd"/>
            <w:r w:rsidRPr="00C54530">
              <w:rPr>
                <w:rFonts w:ascii="宋体" w:hAnsi="宋体" w:hint="eastAsia"/>
                <w:kern w:val="0"/>
                <w:sz w:val="24"/>
              </w:rPr>
              <w:t>投资者非公开发行股票募集配套资金不超过242,578.14万元，在扣除相关费用后，拟用于大悦城地产的中粮·置地广场项目、杭州大悦城-购物中心项目的建设。融资规模不超过中粮地产以发行股份方式购买大悦城地产9,133,667,644股普通股股份交易价格的100%，且发行股份数量不超过本次交易前中粮地产总股本的20%。</w:t>
            </w:r>
            <w:r w:rsidRPr="008837C4">
              <w:rPr>
                <w:rFonts w:ascii="宋体" w:hAnsi="宋体" w:hint="eastAsia"/>
                <w:kern w:val="0"/>
                <w:sz w:val="24"/>
              </w:rPr>
              <w:t>本次交易价格为1,475,607.94万元，是综合考虑了标的资产历史投资价值、净资产价值、可比公司及可比交易估值、标的资产的资产状况、盈利水平、品牌优势等因素。</w:t>
            </w:r>
          </w:p>
          <w:p w:rsidR="00655293" w:rsidRPr="00821CB8" w:rsidRDefault="00655293" w:rsidP="00655293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14298F" w:rsidRDefault="008D0573" w:rsidP="0014298F">
            <w:pPr>
              <w:adjustRightInd w:val="0"/>
              <w:snapToGrid w:val="0"/>
              <w:spacing w:line="360" w:lineRule="auto"/>
              <w:ind w:firstLine="482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2、</w:t>
            </w:r>
            <w:r w:rsidR="0014298F" w:rsidRPr="0014298F">
              <w:rPr>
                <w:rFonts w:ascii="宋体" w:hAnsi="宋体"/>
                <w:b/>
                <w:kern w:val="0"/>
                <w:sz w:val="24"/>
              </w:rPr>
              <w:t>关于</w:t>
            </w:r>
            <w:r w:rsidR="005F4378" w:rsidRPr="005F4378">
              <w:rPr>
                <w:rFonts w:ascii="宋体" w:hAnsi="宋体" w:hint="eastAsia"/>
                <w:b/>
                <w:kern w:val="0"/>
                <w:sz w:val="24"/>
              </w:rPr>
              <w:t>本次</w:t>
            </w:r>
            <w:r w:rsidR="005F4378">
              <w:rPr>
                <w:rFonts w:ascii="宋体" w:hAnsi="宋体" w:hint="eastAsia"/>
                <w:b/>
                <w:kern w:val="0"/>
                <w:sz w:val="24"/>
              </w:rPr>
              <w:t>重组</w:t>
            </w:r>
            <w:r w:rsidR="005F4378" w:rsidRPr="005F4378">
              <w:rPr>
                <w:rFonts w:ascii="宋体" w:hAnsi="宋体" w:hint="eastAsia"/>
                <w:b/>
                <w:kern w:val="0"/>
                <w:sz w:val="24"/>
              </w:rPr>
              <w:t>交易</w:t>
            </w:r>
            <w:r w:rsidR="005F4378">
              <w:rPr>
                <w:rFonts w:ascii="宋体" w:hAnsi="宋体" w:hint="eastAsia"/>
                <w:b/>
                <w:kern w:val="0"/>
                <w:sz w:val="24"/>
              </w:rPr>
              <w:t>的</w:t>
            </w:r>
            <w:r w:rsidR="005F4378" w:rsidRPr="005F4378">
              <w:rPr>
                <w:rFonts w:ascii="宋体" w:hAnsi="宋体" w:hint="eastAsia"/>
                <w:b/>
                <w:kern w:val="0"/>
                <w:sz w:val="24"/>
              </w:rPr>
              <w:t>意义</w:t>
            </w:r>
          </w:p>
          <w:p w:rsidR="00F10408" w:rsidRDefault="008C488E" w:rsidP="0097048C">
            <w:pPr>
              <w:pStyle w:val="Default"/>
              <w:spacing w:line="360" w:lineRule="auto"/>
              <w:ind w:firstLineChars="200" w:firstLine="480"/>
              <w:jc w:val="both"/>
              <w:rPr>
                <w:rFonts w:ascii="Times New Roman" w:cs="Times New Roman"/>
              </w:rPr>
            </w:pPr>
            <w:r w:rsidRPr="00CE0FF4">
              <w:rPr>
                <w:rFonts w:ascii="Times New Roman" w:cs="Times New Roman" w:hint="eastAsia"/>
              </w:rPr>
              <w:t>通过本次</w:t>
            </w:r>
            <w:r>
              <w:rPr>
                <w:rFonts w:ascii="Times New Roman" w:cs="Times New Roman" w:hint="eastAsia"/>
              </w:rPr>
              <w:t>重组</w:t>
            </w:r>
            <w:r w:rsidRPr="00CE0FF4">
              <w:rPr>
                <w:rFonts w:ascii="Times New Roman" w:cs="Times New Roman" w:hint="eastAsia"/>
              </w:rPr>
              <w:t>，中粮地产与大悦城地产将形成住宅、商业板块的优势互补，充分发挥资源整合的协同效应，在渠道、市场、人才、品牌等方面深度融合，搭建统一的融资平台，增强融资能力，</w:t>
            </w:r>
            <w:r>
              <w:rPr>
                <w:rFonts w:ascii="Times New Roman" w:cs="Times New Roman" w:hint="eastAsia"/>
              </w:rPr>
              <w:t>提升运营效率</w:t>
            </w:r>
            <w:r w:rsidR="00F10408">
              <w:rPr>
                <w:rFonts w:ascii="Times New Roman" w:cs="Times New Roman" w:hint="eastAsia"/>
              </w:rPr>
              <w:t>，</w:t>
            </w:r>
            <w:r w:rsidR="00F10408" w:rsidRPr="008C488E">
              <w:rPr>
                <w:rFonts w:asciiTheme="minorEastAsia" w:eastAsiaTheme="minorEastAsia" w:hAnsiTheme="minorEastAsia" w:cs="Times New Roman" w:hint="eastAsia"/>
              </w:rPr>
              <w:t>变成一家全业态地产公司</w:t>
            </w:r>
            <w:r>
              <w:rPr>
                <w:rFonts w:ascii="Times New Roman" w:cs="Times New Roman" w:hint="eastAsia"/>
              </w:rPr>
              <w:t>。</w:t>
            </w:r>
            <w:r w:rsidR="00F10408">
              <w:rPr>
                <w:rFonts w:ascii="Times New Roman" w:cs="Times New Roman" w:hint="eastAsia"/>
              </w:rPr>
              <w:t>本次重组完成后，</w:t>
            </w:r>
            <w:r w:rsidR="00F10408" w:rsidRPr="00F10408">
              <w:rPr>
                <w:rFonts w:ascii="Times New Roman" w:cs="Times New Roman" w:hint="eastAsia"/>
              </w:rPr>
              <w:t>两家上市公司协同合作，将实现住宅开发和持有商业运营的优势互补，有利于为中粮地产提供新的资金渠道，利用港股平台获得较低成本的资金，从而提升发展效率。同时，两者将实现深度的协同合作，丰富两地上市平台的品牌共享。</w:t>
            </w:r>
            <w:r w:rsidR="00F10408">
              <w:rPr>
                <w:rFonts w:ascii="Times New Roman" w:cs="Times New Roman" w:hint="eastAsia"/>
              </w:rPr>
              <w:t>两家上市公司强强联合</w:t>
            </w:r>
            <w:r w:rsidR="00F10408" w:rsidRPr="00F10408">
              <w:rPr>
                <w:rFonts w:ascii="Times New Roman" w:cs="Times New Roman" w:hint="eastAsia"/>
              </w:rPr>
              <w:t>有利于进一步深耕城市，促进项目开发，提升主营业务实力，符合公司整体发展规划和经营管理的需要。</w:t>
            </w:r>
          </w:p>
          <w:p w:rsidR="00FF533D" w:rsidRDefault="00FF533D" w:rsidP="00FF533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="Times New Roman"/>
              </w:rPr>
            </w:pPr>
          </w:p>
          <w:p w:rsidR="00591C21" w:rsidRPr="00591C21" w:rsidRDefault="00591C21" w:rsidP="00FF533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 w:rsidRPr="00591C21">
              <w:rPr>
                <w:rFonts w:asciiTheme="minorEastAsia" w:eastAsiaTheme="minorEastAsia" w:hAnsiTheme="minorEastAsia" w:cs="Times New Roman" w:hint="eastAsia"/>
                <w:b/>
              </w:rPr>
              <w:t>3、关于大悦城地产的基本情况</w:t>
            </w:r>
          </w:p>
          <w:p w:rsidR="00591C21" w:rsidRPr="00591C21" w:rsidRDefault="00591C21" w:rsidP="00591C2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  <w:r w:rsidRPr="00591C21">
              <w:rPr>
                <w:rFonts w:asciiTheme="minorEastAsia" w:eastAsiaTheme="minorEastAsia" w:hAnsiTheme="minorEastAsia" w:cs="Times New Roman" w:hint="eastAsia"/>
              </w:rPr>
              <w:t>大悦城地产是中粮集团所属，以“大悦城”为品牌的城市综合体运营平台</w:t>
            </w:r>
            <w:r>
              <w:rPr>
                <w:rFonts w:asciiTheme="minorEastAsia" w:eastAsiaTheme="minorEastAsia" w:hAnsiTheme="minorEastAsia" w:cs="Times New Roman" w:hint="eastAsia"/>
              </w:rPr>
              <w:t>的</w:t>
            </w:r>
            <w:r w:rsidRPr="00591C21">
              <w:rPr>
                <w:rFonts w:asciiTheme="minorEastAsia" w:eastAsiaTheme="minorEastAsia" w:hAnsiTheme="minorEastAsia" w:cs="Times New Roman" w:hint="eastAsia"/>
              </w:rPr>
              <w:t>香港红筹上市公司</w:t>
            </w:r>
            <w:r>
              <w:rPr>
                <w:rFonts w:asciiTheme="minorEastAsia" w:eastAsiaTheme="minorEastAsia" w:hAnsiTheme="minorEastAsia" w:cs="Times New Roman" w:hint="eastAsia"/>
              </w:rPr>
              <w:t>，</w:t>
            </w:r>
            <w:r w:rsidRPr="00591C21">
              <w:rPr>
                <w:rFonts w:asciiTheme="minorEastAsia" w:eastAsiaTheme="minorEastAsia" w:hAnsiTheme="minorEastAsia" w:cs="Times New Roman" w:hint="eastAsia"/>
              </w:rPr>
              <w:t>依托全国性商业地产品牌“大悦</w:t>
            </w:r>
            <w:r>
              <w:rPr>
                <w:rFonts w:asciiTheme="minorEastAsia" w:eastAsiaTheme="minorEastAsia" w:hAnsiTheme="minorEastAsia" w:cs="Times New Roman" w:hint="eastAsia"/>
              </w:rPr>
              <w:t>城”。</w:t>
            </w:r>
            <w:r w:rsidRPr="00591C21">
              <w:rPr>
                <w:rFonts w:asciiTheme="minorEastAsia" w:eastAsiaTheme="minorEastAsia" w:hAnsiTheme="minorEastAsia" w:cs="Times New Roman" w:hint="eastAsia"/>
              </w:rPr>
              <w:t>大悦城地产专注于开发、经营、销售、出租及管理综合体和商业物业，已形成涵盖投资物业、物业开发、酒店运营等板块的经营格局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591C21" w:rsidRPr="00591C21" w:rsidRDefault="00591C21" w:rsidP="00591C2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="Times New Roman"/>
              </w:rPr>
            </w:pPr>
          </w:p>
          <w:p w:rsidR="00591C21" w:rsidRPr="00591C21" w:rsidRDefault="00591C21" w:rsidP="00591C21">
            <w:pPr>
              <w:pStyle w:val="Default"/>
              <w:spacing w:line="360" w:lineRule="auto"/>
              <w:ind w:firstLine="465"/>
              <w:jc w:val="both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4</w:t>
            </w:r>
            <w:r w:rsidRPr="00591C21">
              <w:rPr>
                <w:rFonts w:asciiTheme="minorEastAsia" w:eastAsiaTheme="minorEastAsia" w:hAnsiTheme="minorEastAsia" w:cs="Times New Roman" w:hint="eastAsia"/>
                <w:b/>
              </w:rPr>
              <w:t>、本次重组的进展及后续安排</w:t>
            </w:r>
          </w:p>
          <w:p w:rsidR="00591C21" w:rsidRDefault="00554F2D" w:rsidP="00591C21">
            <w:pPr>
              <w:pStyle w:val="Default"/>
              <w:spacing w:line="360" w:lineRule="auto"/>
              <w:ind w:firstLine="465"/>
              <w:jc w:val="both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本次重大资产重组已经公司第九届董事会第十七次会议及</w:t>
            </w:r>
            <w:r w:rsidR="00591C21">
              <w:rPr>
                <w:rFonts w:asciiTheme="minorEastAsia" w:eastAsiaTheme="minorEastAsia" w:hAnsiTheme="minorEastAsia" w:cs="Times New Roman" w:hint="eastAsia"/>
              </w:rPr>
              <w:t>第十八次会议审议通过并已公告交易草案，</w:t>
            </w:r>
            <w:r w:rsidR="00591C21" w:rsidRPr="00591C21">
              <w:rPr>
                <w:rFonts w:asciiTheme="minorEastAsia" w:eastAsiaTheme="minorEastAsia" w:hAnsiTheme="minorEastAsia" w:cs="Times New Roman" w:hint="eastAsia"/>
              </w:rPr>
              <w:t>未来仍需股东大会审议通过，在股东大会审批</w:t>
            </w:r>
            <w:r w:rsidR="007F682C">
              <w:rPr>
                <w:rFonts w:asciiTheme="minorEastAsia" w:eastAsiaTheme="minorEastAsia" w:hAnsiTheme="minorEastAsia" w:cs="Times New Roman" w:hint="eastAsia"/>
              </w:rPr>
              <w:t>前需</w:t>
            </w:r>
            <w:r w:rsidR="00591C21" w:rsidRPr="00591C21">
              <w:rPr>
                <w:rFonts w:asciiTheme="minorEastAsia" w:eastAsiaTheme="minorEastAsia" w:hAnsiTheme="minorEastAsia" w:cs="Times New Roman" w:hint="eastAsia"/>
              </w:rPr>
              <w:t>获得国资委批复，并向证监会、商务部及发改委报送正式审批文件。</w:t>
            </w:r>
          </w:p>
          <w:p w:rsidR="00591C21" w:rsidRPr="007F682C" w:rsidRDefault="00591C21" w:rsidP="00591C21">
            <w:pPr>
              <w:pStyle w:val="Default"/>
              <w:spacing w:line="360" w:lineRule="auto"/>
              <w:ind w:firstLine="465"/>
              <w:jc w:val="both"/>
              <w:rPr>
                <w:rFonts w:asciiTheme="minorEastAsia" w:eastAsiaTheme="minorEastAsia" w:hAnsiTheme="minorEastAsia" w:cs="Times New Roman"/>
              </w:rPr>
            </w:pPr>
          </w:p>
          <w:p w:rsidR="00F10408" w:rsidRPr="00350060" w:rsidRDefault="00591C21" w:rsidP="00350060">
            <w:pPr>
              <w:pStyle w:val="a5"/>
              <w:adjustRightInd w:val="0"/>
              <w:snapToGrid w:val="0"/>
              <w:spacing w:line="360" w:lineRule="auto"/>
              <w:ind w:left="532" w:firstLineChars="0" w:firstLine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  <w:r w:rsidR="00AE26AC" w:rsidRPr="00AE26AC">
              <w:rPr>
                <w:rFonts w:asciiTheme="majorEastAsia" w:eastAsiaTheme="majorEastAsia" w:hAnsiTheme="majorEastAsia" w:hint="eastAsia"/>
                <w:b/>
                <w:sz w:val="24"/>
              </w:rPr>
              <w:t>、</w:t>
            </w:r>
            <w:r w:rsidR="00AE26AC" w:rsidRPr="00350060">
              <w:rPr>
                <w:rFonts w:asciiTheme="majorEastAsia" w:eastAsiaTheme="majorEastAsia" w:hAnsiTheme="majorEastAsia" w:hint="eastAsia"/>
                <w:b/>
                <w:sz w:val="24"/>
              </w:rPr>
              <w:t>关于</w:t>
            </w:r>
            <w:r w:rsidR="00F10408" w:rsidRPr="00350060">
              <w:rPr>
                <w:rFonts w:asciiTheme="majorEastAsia" w:eastAsiaTheme="majorEastAsia" w:hAnsiTheme="majorEastAsia" w:hint="eastAsia"/>
                <w:b/>
                <w:sz w:val="24"/>
              </w:rPr>
              <w:t>公司2018年在规模和增速方面的计划</w:t>
            </w:r>
          </w:p>
          <w:p w:rsidR="005F231F" w:rsidRPr="00E213EC" w:rsidRDefault="00F10408" w:rsidP="00E213E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 w:rsidRPr="0006496C">
              <w:rPr>
                <w:rFonts w:hint="eastAsia"/>
                <w:sz w:val="24"/>
              </w:rPr>
              <w:t>，</w:t>
            </w:r>
            <w:r w:rsidRPr="0006496C">
              <w:rPr>
                <w:rFonts w:ascii="宋体" w:hAnsi="宋体" w:hint="eastAsia"/>
                <w:sz w:val="24"/>
              </w:rPr>
              <w:t>公司将</w:t>
            </w:r>
            <w:r>
              <w:rPr>
                <w:rFonts w:ascii="宋体" w:hAnsi="宋体" w:hint="eastAsia"/>
                <w:sz w:val="24"/>
              </w:rPr>
              <w:t>继续</w:t>
            </w:r>
            <w:r>
              <w:rPr>
                <w:rFonts w:hint="eastAsia"/>
                <w:sz w:val="24"/>
              </w:rPr>
              <w:t>深入推进</w:t>
            </w:r>
            <w:r>
              <w:rPr>
                <w:sz w:val="24"/>
              </w:rPr>
              <w:t>“3+X”</w:t>
            </w:r>
            <w:r w:rsidRPr="00E1719F">
              <w:rPr>
                <w:rFonts w:hint="eastAsia"/>
              </w:rPr>
              <w:t xml:space="preserve"> </w:t>
            </w:r>
            <w:r w:rsidRPr="00E1719F">
              <w:rPr>
                <w:rFonts w:hint="eastAsia"/>
                <w:sz w:val="24"/>
              </w:rPr>
              <w:t>区域布局</w:t>
            </w:r>
            <w:r>
              <w:rPr>
                <w:sz w:val="24"/>
              </w:rPr>
              <w:t>，</w:t>
            </w:r>
            <w:r w:rsidRPr="0006496C">
              <w:rPr>
                <w:rFonts w:ascii="宋体" w:hAnsi="宋体" w:hint="eastAsia"/>
                <w:sz w:val="24"/>
              </w:rPr>
              <w:t>依托城市裂变、辐射发展原则，有计划、有节奏地继续推进土地储备</w:t>
            </w:r>
            <w:r>
              <w:rPr>
                <w:rFonts w:hint="eastAsia"/>
                <w:sz w:val="24"/>
              </w:rPr>
              <w:t>。在一线</w:t>
            </w:r>
            <w:r>
              <w:rPr>
                <w:sz w:val="24"/>
              </w:rPr>
              <w:t>城市加大关注长租公寓、城市更新、政策性住房</w:t>
            </w:r>
            <w:r>
              <w:rPr>
                <w:rFonts w:hint="eastAsia"/>
                <w:sz w:val="24"/>
              </w:rPr>
              <w:t>；将</w:t>
            </w:r>
            <w:r>
              <w:rPr>
                <w:sz w:val="24"/>
              </w:rPr>
              <w:t>二线</w:t>
            </w:r>
            <w:r>
              <w:rPr>
                <w:rFonts w:hint="eastAsia"/>
                <w:sz w:val="24"/>
              </w:rPr>
              <w:t>城市</w:t>
            </w:r>
            <w:r>
              <w:rPr>
                <w:sz w:val="24"/>
              </w:rPr>
              <w:t>作为</w:t>
            </w:r>
            <w:r>
              <w:rPr>
                <w:sz w:val="24"/>
              </w:rPr>
              <w:lastRenderedPageBreak/>
              <w:t>未来新房的主战场，特别是新经济辐射及轨道交通节点城市更具发展机遇；关注</w:t>
            </w:r>
            <w:r>
              <w:rPr>
                <w:rFonts w:hint="eastAsia"/>
                <w:sz w:val="24"/>
              </w:rPr>
              <w:t>核心城市</w:t>
            </w:r>
            <w:r>
              <w:rPr>
                <w:sz w:val="24"/>
              </w:rPr>
              <w:t>周边及有产业优势的三、四线城市。不断快拿地、快开工、快回款，实现</w:t>
            </w:r>
            <w:r>
              <w:rPr>
                <w:rFonts w:hint="eastAsia"/>
                <w:sz w:val="24"/>
              </w:rPr>
              <w:t>规模扩张</w:t>
            </w:r>
            <w:r>
              <w:rPr>
                <w:sz w:val="24"/>
              </w:rPr>
              <w:t>与高质量增长。</w:t>
            </w:r>
            <w:r w:rsidR="005F231F">
              <w:rPr>
                <w:rFonts w:hint="eastAsia"/>
                <w:sz w:val="24"/>
              </w:rPr>
              <w:t>此外，根据公司及大悦城</w:t>
            </w:r>
            <w:r w:rsidR="005F231F">
              <w:rPr>
                <w:rFonts w:hint="eastAsia"/>
                <w:sz w:val="24"/>
              </w:rPr>
              <w:t>2017</w:t>
            </w:r>
            <w:r w:rsidR="005F231F">
              <w:rPr>
                <w:rFonts w:hint="eastAsia"/>
                <w:sz w:val="24"/>
              </w:rPr>
              <w:t>年年报数据，</w:t>
            </w:r>
            <w:r w:rsidR="005F231F" w:rsidRPr="0006496C">
              <w:rPr>
                <w:rFonts w:asciiTheme="minorEastAsia" w:hAnsiTheme="minorEastAsia" w:hint="eastAsia"/>
                <w:sz w:val="24"/>
              </w:rPr>
              <w:t>公司在建拟建项目合计</w:t>
            </w:r>
            <w:r w:rsidR="005F231F" w:rsidRPr="0006496C">
              <w:rPr>
                <w:rFonts w:asciiTheme="minorEastAsia" w:hAnsiTheme="minorEastAsia"/>
                <w:sz w:val="24"/>
              </w:rPr>
              <w:t>963.97</w:t>
            </w:r>
            <w:r w:rsidR="00E2528A">
              <w:rPr>
                <w:rFonts w:asciiTheme="minorEastAsia" w:hAnsiTheme="minorEastAsia" w:hint="eastAsia"/>
                <w:sz w:val="24"/>
              </w:rPr>
              <w:t>万</w:t>
            </w:r>
            <w:r w:rsidR="005F231F" w:rsidRPr="0006496C">
              <w:rPr>
                <w:rFonts w:asciiTheme="minorEastAsia" w:hAnsiTheme="minorEastAsia" w:hint="eastAsia"/>
                <w:sz w:val="24"/>
              </w:rPr>
              <w:t>平方米，</w:t>
            </w:r>
            <w:r w:rsidR="005F231F" w:rsidRPr="0006496C">
              <w:rPr>
                <w:rFonts w:hint="eastAsia"/>
                <w:sz w:val="24"/>
              </w:rPr>
              <w:t>大悦城地产土地储备约</w:t>
            </w:r>
            <w:r w:rsidR="005F231F" w:rsidRPr="0006496C">
              <w:rPr>
                <w:rFonts w:hint="eastAsia"/>
                <w:sz w:val="24"/>
              </w:rPr>
              <w:t>480</w:t>
            </w:r>
            <w:r w:rsidR="005F231F" w:rsidRPr="0006496C">
              <w:rPr>
                <w:rFonts w:hint="eastAsia"/>
                <w:sz w:val="24"/>
              </w:rPr>
              <w:t>万平方米，整合后土地储备达约</w:t>
            </w:r>
            <w:r w:rsidR="005F231F" w:rsidRPr="0006496C">
              <w:rPr>
                <w:sz w:val="24"/>
              </w:rPr>
              <w:t>1,400</w:t>
            </w:r>
            <w:r w:rsidR="005F231F" w:rsidRPr="0006496C">
              <w:rPr>
                <w:rFonts w:hint="eastAsia"/>
                <w:sz w:val="24"/>
              </w:rPr>
              <w:t>万平方米。</w:t>
            </w:r>
          </w:p>
        </w:tc>
      </w:tr>
      <w:tr w:rsidR="00966F7F" w:rsidRPr="00280AA5" w:rsidTr="00B478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04" w:rsidRPr="00B47804" w:rsidRDefault="00966F7F" w:rsidP="0007612C">
            <w:pPr>
              <w:spacing w:line="27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</w:t>
            </w:r>
          </w:p>
          <w:p w:rsidR="00966F7F" w:rsidRPr="00B47804" w:rsidRDefault="00966F7F" w:rsidP="0007612C">
            <w:pPr>
              <w:spacing w:line="27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（如有）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F" w:rsidRPr="004C2E23" w:rsidRDefault="00966F7F" w:rsidP="001A08B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966F7F" w:rsidRPr="00280AA5" w:rsidTr="00B47804">
        <w:trPr>
          <w:trHeight w:val="3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F" w:rsidRPr="00B47804" w:rsidRDefault="00966F7F" w:rsidP="00C3666D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B4780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F" w:rsidRPr="004C2E23" w:rsidRDefault="00966F7F" w:rsidP="008C488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8C488E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 w:rsidR="009C0011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523749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FF533D"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737FB4" w:rsidRDefault="00737FB4" w:rsidP="0094679F"/>
    <w:sectPr w:rsidR="00737FB4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C4" w:rsidRDefault="00673FC4" w:rsidP="00966F7F">
      <w:r>
        <w:separator/>
      </w:r>
    </w:p>
  </w:endnote>
  <w:endnote w:type="continuationSeparator" w:id="0">
    <w:p w:rsidR="00673FC4" w:rsidRDefault="00673FC4" w:rsidP="0096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082150"/>
      <w:docPartObj>
        <w:docPartGallery w:val="Page Numbers (Bottom of Page)"/>
        <w:docPartUnique/>
      </w:docPartObj>
    </w:sdtPr>
    <w:sdtContent>
      <w:p w:rsidR="00B43E31" w:rsidRDefault="00B473E5" w:rsidP="00B43E31">
        <w:pPr>
          <w:pStyle w:val="a4"/>
          <w:jc w:val="center"/>
        </w:pPr>
        <w:r>
          <w:fldChar w:fldCharType="begin"/>
        </w:r>
        <w:r w:rsidR="00B43E31">
          <w:instrText>PAGE   \* MERGEFORMAT</w:instrText>
        </w:r>
        <w:r>
          <w:fldChar w:fldCharType="separate"/>
        </w:r>
        <w:r w:rsidR="00E2528A" w:rsidRPr="00E2528A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C4" w:rsidRDefault="00673FC4" w:rsidP="00966F7F">
      <w:r>
        <w:separator/>
      </w:r>
    </w:p>
  </w:footnote>
  <w:footnote w:type="continuationSeparator" w:id="0">
    <w:p w:rsidR="00673FC4" w:rsidRDefault="00673FC4" w:rsidP="0096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18D"/>
    <w:multiLevelType w:val="hybridMultilevel"/>
    <w:tmpl w:val="B9CE9AE6"/>
    <w:lvl w:ilvl="0" w:tplc="46E2B7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8404D"/>
    <w:multiLevelType w:val="hybridMultilevel"/>
    <w:tmpl w:val="1EB43E46"/>
    <w:lvl w:ilvl="0" w:tplc="60CA9FE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9258C"/>
    <w:multiLevelType w:val="hybridMultilevel"/>
    <w:tmpl w:val="0A76C574"/>
    <w:lvl w:ilvl="0" w:tplc="089800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BA4713"/>
    <w:multiLevelType w:val="hybridMultilevel"/>
    <w:tmpl w:val="31D6596A"/>
    <w:lvl w:ilvl="0" w:tplc="67F6C168">
      <w:start w:val="1"/>
      <w:numFmt w:val="decimal"/>
      <w:lvlText w:val="%1、"/>
      <w:lvlJc w:val="left"/>
      <w:pPr>
        <w:ind w:left="1202" w:hanging="720"/>
      </w:pPr>
      <w:rPr>
        <w:rFonts w:asciiTheme="majorEastAsia" w:eastAsiaTheme="majorEastAsia" w:hAnsiTheme="majorEastAsia"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B287ED0"/>
    <w:multiLevelType w:val="hybridMultilevel"/>
    <w:tmpl w:val="899498E6"/>
    <w:lvl w:ilvl="0" w:tplc="89B8CF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6403AF"/>
    <w:multiLevelType w:val="hybridMultilevel"/>
    <w:tmpl w:val="914CB8C0"/>
    <w:lvl w:ilvl="0" w:tplc="B27A9EC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F21C8D"/>
    <w:multiLevelType w:val="hybridMultilevel"/>
    <w:tmpl w:val="2BA0ECB8"/>
    <w:lvl w:ilvl="0" w:tplc="1D1E7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4C28B6"/>
    <w:multiLevelType w:val="hybridMultilevel"/>
    <w:tmpl w:val="00F06200"/>
    <w:lvl w:ilvl="0" w:tplc="384ACC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7E3497"/>
    <w:multiLevelType w:val="hybridMultilevel"/>
    <w:tmpl w:val="064E3D6C"/>
    <w:lvl w:ilvl="0" w:tplc="4C106EB2">
      <w:start w:val="1"/>
      <w:numFmt w:val="decimal"/>
      <w:lvlText w:val="%1、"/>
      <w:lvlJc w:val="left"/>
      <w:pPr>
        <w:ind w:left="1202" w:hanging="720"/>
      </w:pPr>
      <w:rPr>
        <w:rFonts w:asciiTheme="majorEastAsia" w:eastAsiaTheme="majorEastAsia" w:hAnsiTheme="majorEastAsi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29850649"/>
    <w:multiLevelType w:val="hybridMultilevel"/>
    <w:tmpl w:val="2B2C9B5E"/>
    <w:lvl w:ilvl="0" w:tplc="3020B11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3B7363F4"/>
    <w:multiLevelType w:val="hybridMultilevel"/>
    <w:tmpl w:val="CF9400B2"/>
    <w:lvl w:ilvl="0" w:tplc="F3CEA9F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156C7"/>
    <w:multiLevelType w:val="hybridMultilevel"/>
    <w:tmpl w:val="3444A34A"/>
    <w:lvl w:ilvl="0" w:tplc="21A04292">
      <w:start w:val="1"/>
      <w:numFmt w:val="decimal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764045"/>
    <w:multiLevelType w:val="hybridMultilevel"/>
    <w:tmpl w:val="0A92EBDE"/>
    <w:lvl w:ilvl="0" w:tplc="282ECEE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5850CC"/>
    <w:multiLevelType w:val="hybridMultilevel"/>
    <w:tmpl w:val="CF3A6AA0"/>
    <w:lvl w:ilvl="0" w:tplc="FDFA13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2D4CF5"/>
    <w:multiLevelType w:val="hybridMultilevel"/>
    <w:tmpl w:val="7D628E3A"/>
    <w:lvl w:ilvl="0" w:tplc="CF4AFC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施彦妤">
    <w15:presenceInfo w15:providerId="AD" w15:userId="S-1-5-21-414585793-2065722092-2382966481-540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6F7F"/>
    <w:rsid w:val="000234CE"/>
    <w:rsid w:val="00023DAF"/>
    <w:rsid w:val="0003021A"/>
    <w:rsid w:val="000305F3"/>
    <w:rsid w:val="00030C09"/>
    <w:rsid w:val="00034E07"/>
    <w:rsid w:val="00036000"/>
    <w:rsid w:val="00050C79"/>
    <w:rsid w:val="000668A4"/>
    <w:rsid w:val="00070D26"/>
    <w:rsid w:val="0007612C"/>
    <w:rsid w:val="00076FC0"/>
    <w:rsid w:val="0008379E"/>
    <w:rsid w:val="00087F56"/>
    <w:rsid w:val="000954EF"/>
    <w:rsid w:val="000C7A2F"/>
    <w:rsid w:val="000E68E0"/>
    <w:rsid w:val="000F11DA"/>
    <w:rsid w:val="000F3E3A"/>
    <w:rsid w:val="000F5493"/>
    <w:rsid w:val="000F7A1D"/>
    <w:rsid w:val="001040E9"/>
    <w:rsid w:val="001051CB"/>
    <w:rsid w:val="001079F8"/>
    <w:rsid w:val="00136021"/>
    <w:rsid w:val="001423B5"/>
    <w:rsid w:val="0014298F"/>
    <w:rsid w:val="001430C8"/>
    <w:rsid w:val="00143619"/>
    <w:rsid w:val="001507D7"/>
    <w:rsid w:val="001518E3"/>
    <w:rsid w:val="0016033D"/>
    <w:rsid w:val="001979AF"/>
    <w:rsid w:val="001A08BA"/>
    <w:rsid w:val="001A51BC"/>
    <w:rsid w:val="001A63D2"/>
    <w:rsid w:val="001A6EFD"/>
    <w:rsid w:val="001A7E82"/>
    <w:rsid w:val="001B1631"/>
    <w:rsid w:val="001C454D"/>
    <w:rsid w:val="001D7DF1"/>
    <w:rsid w:val="001E36A5"/>
    <w:rsid w:val="001E4A18"/>
    <w:rsid w:val="001F08AB"/>
    <w:rsid w:val="001F7388"/>
    <w:rsid w:val="00200009"/>
    <w:rsid w:val="00201F58"/>
    <w:rsid w:val="002068E6"/>
    <w:rsid w:val="00206BCA"/>
    <w:rsid w:val="002112A6"/>
    <w:rsid w:val="0021649C"/>
    <w:rsid w:val="00216EE9"/>
    <w:rsid w:val="00224017"/>
    <w:rsid w:val="002371DB"/>
    <w:rsid w:val="00253992"/>
    <w:rsid w:val="00267B1A"/>
    <w:rsid w:val="00276700"/>
    <w:rsid w:val="002862B0"/>
    <w:rsid w:val="002870CE"/>
    <w:rsid w:val="002A0DAF"/>
    <w:rsid w:val="002A4D7E"/>
    <w:rsid w:val="002B0A23"/>
    <w:rsid w:val="002B2ADC"/>
    <w:rsid w:val="002B5D0D"/>
    <w:rsid w:val="002C46B2"/>
    <w:rsid w:val="002C6111"/>
    <w:rsid w:val="002C6C67"/>
    <w:rsid w:val="002F38E0"/>
    <w:rsid w:val="00303028"/>
    <w:rsid w:val="00305762"/>
    <w:rsid w:val="00321050"/>
    <w:rsid w:val="00323B43"/>
    <w:rsid w:val="00324EE0"/>
    <w:rsid w:val="00331D38"/>
    <w:rsid w:val="00335CEC"/>
    <w:rsid w:val="00341057"/>
    <w:rsid w:val="00341BFD"/>
    <w:rsid w:val="0035002C"/>
    <w:rsid w:val="00350060"/>
    <w:rsid w:val="00355150"/>
    <w:rsid w:val="00372319"/>
    <w:rsid w:val="003726BC"/>
    <w:rsid w:val="003A6A43"/>
    <w:rsid w:val="003A7DDF"/>
    <w:rsid w:val="003B1516"/>
    <w:rsid w:val="003C2C47"/>
    <w:rsid w:val="003D37D8"/>
    <w:rsid w:val="003D5A61"/>
    <w:rsid w:val="003D69E4"/>
    <w:rsid w:val="003E7EB9"/>
    <w:rsid w:val="0040110A"/>
    <w:rsid w:val="0040684A"/>
    <w:rsid w:val="00407571"/>
    <w:rsid w:val="00411261"/>
    <w:rsid w:val="00427202"/>
    <w:rsid w:val="004358AB"/>
    <w:rsid w:val="0043676E"/>
    <w:rsid w:val="004508BF"/>
    <w:rsid w:val="00455325"/>
    <w:rsid w:val="00460521"/>
    <w:rsid w:val="004626B3"/>
    <w:rsid w:val="00472D2B"/>
    <w:rsid w:val="00487A08"/>
    <w:rsid w:val="004953B5"/>
    <w:rsid w:val="004A6DBE"/>
    <w:rsid w:val="004A712E"/>
    <w:rsid w:val="004C3D5D"/>
    <w:rsid w:val="004D3998"/>
    <w:rsid w:val="004D5AC9"/>
    <w:rsid w:val="004E2650"/>
    <w:rsid w:val="004E4BFE"/>
    <w:rsid w:val="004F13F0"/>
    <w:rsid w:val="005103CE"/>
    <w:rsid w:val="00521412"/>
    <w:rsid w:val="00523749"/>
    <w:rsid w:val="00541407"/>
    <w:rsid w:val="005414C0"/>
    <w:rsid w:val="00551281"/>
    <w:rsid w:val="00554F2D"/>
    <w:rsid w:val="00564F99"/>
    <w:rsid w:val="0057177C"/>
    <w:rsid w:val="00574510"/>
    <w:rsid w:val="00577817"/>
    <w:rsid w:val="00590225"/>
    <w:rsid w:val="00591C21"/>
    <w:rsid w:val="00595811"/>
    <w:rsid w:val="00596BD9"/>
    <w:rsid w:val="005971A3"/>
    <w:rsid w:val="005A17AE"/>
    <w:rsid w:val="005A6B89"/>
    <w:rsid w:val="005B2209"/>
    <w:rsid w:val="005C3383"/>
    <w:rsid w:val="005C7CBB"/>
    <w:rsid w:val="005D03DE"/>
    <w:rsid w:val="005D35B3"/>
    <w:rsid w:val="005E0C1A"/>
    <w:rsid w:val="005E49C7"/>
    <w:rsid w:val="005F231F"/>
    <w:rsid w:val="005F32B9"/>
    <w:rsid w:val="005F4378"/>
    <w:rsid w:val="005F61A4"/>
    <w:rsid w:val="00611D81"/>
    <w:rsid w:val="00611F06"/>
    <w:rsid w:val="0062535A"/>
    <w:rsid w:val="006341BC"/>
    <w:rsid w:val="00640CFC"/>
    <w:rsid w:val="00641160"/>
    <w:rsid w:val="00651D48"/>
    <w:rsid w:val="00655293"/>
    <w:rsid w:val="00656171"/>
    <w:rsid w:val="00663101"/>
    <w:rsid w:val="0067381F"/>
    <w:rsid w:val="00673C39"/>
    <w:rsid w:val="00673FC4"/>
    <w:rsid w:val="006831C9"/>
    <w:rsid w:val="00692572"/>
    <w:rsid w:val="006B3140"/>
    <w:rsid w:val="006D07FC"/>
    <w:rsid w:val="006D253A"/>
    <w:rsid w:val="006E50D2"/>
    <w:rsid w:val="006F6695"/>
    <w:rsid w:val="006F71DC"/>
    <w:rsid w:val="00737FB4"/>
    <w:rsid w:val="007460E3"/>
    <w:rsid w:val="00747F52"/>
    <w:rsid w:val="007544CE"/>
    <w:rsid w:val="007635A9"/>
    <w:rsid w:val="0077194C"/>
    <w:rsid w:val="00774357"/>
    <w:rsid w:val="00780B1B"/>
    <w:rsid w:val="0078217F"/>
    <w:rsid w:val="007858BF"/>
    <w:rsid w:val="0079036B"/>
    <w:rsid w:val="007B1201"/>
    <w:rsid w:val="007C1EFC"/>
    <w:rsid w:val="007C45B6"/>
    <w:rsid w:val="007D3587"/>
    <w:rsid w:val="007E5FE6"/>
    <w:rsid w:val="007E648F"/>
    <w:rsid w:val="007F682C"/>
    <w:rsid w:val="007F6F3D"/>
    <w:rsid w:val="00803F30"/>
    <w:rsid w:val="00804922"/>
    <w:rsid w:val="008176FD"/>
    <w:rsid w:val="00820723"/>
    <w:rsid w:val="0082088F"/>
    <w:rsid w:val="00821CB8"/>
    <w:rsid w:val="0082444C"/>
    <w:rsid w:val="00833193"/>
    <w:rsid w:val="008365AE"/>
    <w:rsid w:val="008421B6"/>
    <w:rsid w:val="008665C0"/>
    <w:rsid w:val="00872DC3"/>
    <w:rsid w:val="00873A39"/>
    <w:rsid w:val="0087515F"/>
    <w:rsid w:val="00881B89"/>
    <w:rsid w:val="008837C4"/>
    <w:rsid w:val="00890CE9"/>
    <w:rsid w:val="008A6037"/>
    <w:rsid w:val="008B7726"/>
    <w:rsid w:val="008C488E"/>
    <w:rsid w:val="008D0573"/>
    <w:rsid w:val="008F4960"/>
    <w:rsid w:val="008F508F"/>
    <w:rsid w:val="009060AF"/>
    <w:rsid w:val="009079F3"/>
    <w:rsid w:val="00912628"/>
    <w:rsid w:val="0092067E"/>
    <w:rsid w:val="00931158"/>
    <w:rsid w:val="00933B1C"/>
    <w:rsid w:val="00934430"/>
    <w:rsid w:val="00940281"/>
    <w:rsid w:val="0094068E"/>
    <w:rsid w:val="0094679F"/>
    <w:rsid w:val="00951877"/>
    <w:rsid w:val="00951E64"/>
    <w:rsid w:val="009541D7"/>
    <w:rsid w:val="00962DAD"/>
    <w:rsid w:val="00966F7F"/>
    <w:rsid w:val="0097048C"/>
    <w:rsid w:val="00983062"/>
    <w:rsid w:val="009A260F"/>
    <w:rsid w:val="009A3A29"/>
    <w:rsid w:val="009B2D4E"/>
    <w:rsid w:val="009B6E22"/>
    <w:rsid w:val="009C0011"/>
    <w:rsid w:val="009C6FFE"/>
    <w:rsid w:val="009D0835"/>
    <w:rsid w:val="009D7583"/>
    <w:rsid w:val="009E5E44"/>
    <w:rsid w:val="009F0979"/>
    <w:rsid w:val="009F107F"/>
    <w:rsid w:val="009F724D"/>
    <w:rsid w:val="00A040E3"/>
    <w:rsid w:val="00A145C7"/>
    <w:rsid w:val="00A31A84"/>
    <w:rsid w:val="00A3451F"/>
    <w:rsid w:val="00A370A8"/>
    <w:rsid w:val="00A458E9"/>
    <w:rsid w:val="00A6297C"/>
    <w:rsid w:val="00A633EA"/>
    <w:rsid w:val="00A665D7"/>
    <w:rsid w:val="00A7253D"/>
    <w:rsid w:val="00A725B6"/>
    <w:rsid w:val="00A75962"/>
    <w:rsid w:val="00A82B42"/>
    <w:rsid w:val="00A94F81"/>
    <w:rsid w:val="00A97BF5"/>
    <w:rsid w:val="00AA1363"/>
    <w:rsid w:val="00AA416E"/>
    <w:rsid w:val="00AA5303"/>
    <w:rsid w:val="00AA62AB"/>
    <w:rsid w:val="00AA7E4E"/>
    <w:rsid w:val="00AB220C"/>
    <w:rsid w:val="00AB3A44"/>
    <w:rsid w:val="00AB45E1"/>
    <w:rsid w:val="00AC013F"/>
    <w:rsid w:val="00AC1865"/>
    <w:rsid w:val="00AC5360"/>
    <w:rsid w:val="00AC5F59"/>
    <w:rsid w:val="00AD1623"/>
    <w:rsid w:val="00AE26AC"/>
    <w:rsid w:val="00AE4EB9"/>
    <w:rsid w:val="00AE536A"/>
    <w:rsid w:val="00AF1C34"/>
    <w:rsid w:val="00B12FED"/>
    <w:rsid w:val="00B1397A"/>
    <w:rsid w:val="00B20092"/>
    <w:rsid w:val="00B228C3"/>
    <w:rsid w:val="00B323DD"/>
    <w:rsid w:val="00B33438"/>
    <w:rsid w:val="00B36F45"/>
    <w:rsid w:val="00B400A4"/>
    <w:rsid w:val="00B43E31"/>
    <w:rsid w:val="00B452E9"/>
    <w:rsid w:val="00B473E5"/>
    <w:rsid w:val="00B47804"/>
    <w:rsid w:val="00B54F07"/>
    <w:rsid w:val="00B61F0F"/>
    <w:rsid w:val="00B70C6B"/>
    <w:rsid w:val="00B723D3"/>
    <w:rsid w:val="00B818B3"/>
    <w:rsid w:val="00B86D44"/>
    <w:rsid w:val="00B962E0"/>
    <w:rsid w:val="00B964AA"/>
    <w:rsid w:val="00BA341B"/>
    <w:rsid w:val="00BA41EA"/>
    <w:rsid w:val="00BA4356"/>
    <w:rsid w:val="00BB2BDE"/>
    <w:rsid w:val="00BB4916"/>
    <w:rsid w:val="00BB4B5D"/>
    <w:rsid w:val="00BB767F"/>
    <w:rsid w:val="00BC0E9B"/>
    <w:rsid w:val="00BC47A2"/>
    <w:rsid w:val="00BC6C08"/>
    <w:rsid w:val="00BD61FA"/>
    <w:rsid w:val="00BF0C1C"/>
    <w:rsid w:val="00BF2D39"/>
    <w:rsid w:val="00BF52D5"/>
    <w:rsid w:val="00BF5AE1"/>
    <w:rsid w:val="00C1434A"/>
    <w:rsid w:val="00C2295F"/>
    <w:rsid w:val="00C23DFD"/>
    <w:rsid w:val="00C324B7"/>
    <w:rsid w:val="00C33D03"/>
    <w:rsid w:val="00C3666D"/>
    <w:rsid w:val="00C37846"/>
    <w:rsid w:val="00C379D7"/>
    <w:rsid w:val="00C44266"/>
    <w:rsid w:val="00C54530"/>
    <w:rsid w:val="00C677A4"/>
    <w:rsid w:val="00C74153"/>
    <w:rsid w:val="00C873CC"/>
    <w:rsid w:val="00C87C20"/>
    <w:rsid w:val="00C94705"/>
    <w:rsid w:val="00CA7C79"/>
    <w:rsid w:val="00CB6D5A"/>
    <w:rsid w:val="00CD52B2"/>
    <w:rsid w:val="00CE25B7"/>
    <w:rsid w:val="00CE7698"/>
    <w:rsid w:val="00CF3E6B"/>
    <w:rsid w:val="00D03EDA"/>
    <w:rsid w:val="00D06315"/>
    <w:rsid w:val="00D0686C"/>
    <w:rsid w:val="00D153B9"/>
    <w:rsid w:val="00D15B01"/>
    <w:rsid w:val="00D407E0"/>
    <w:rsid w:val="00D4316D"/>
    <w:rsid w:val="00D43ECA"/>
    <w:rsid w:val="00D47FFE"/>
    <w:rsid w:val="00D674DE"/>
    <w:rsid w:val="00D70C5E"/>
    <w:rsid w:val="00DA0A0F"/>
    <w:rsid w:val="00DA2FA7"/>
    <w:rsid w:val="00DA58F2"/>
    <w:rsid w:val="00DD34B8"/>
    <w:rsid w:val="00DE4277"/>
    <w:rsid w:val="00DF3E78"/>
    <w:rsid w:val="00E05DA2"/>
    <w:rsid w:val="00E06913"/>
    <w:rsid w:val="00E11004"/>
    <w:rsid w:val="00E213EC"/>
    <w:rsid w:val="00E23CBC"/>
    <w:rsid w:val="00E2528A"/>
    <w:rsid w:val="00E270D7"/>
    <w:rsid w:val="00E320CD"/>
    <w:rsid w:val="00E36DD8"/>
    <w:rsid w:val="00E432C1"/>
    <w:rsid w:val="00E45CCD"/>
    <w:rsid w:val="00E4792D"/>
    <w:rsid w:val="00E5135F"/>
    <w:rsid w:val="00E62096"/>
    <w:rsid w:val="00E70118"/>
    <w:rsid w:val="00E927A7"/>
    <w:rsid w:val="00EA5A39"/>
    <w:rsid w:val="00EB2B55"/>
    <w:rsid w:val="00EB463D"/>
    <w:rsid w:val="00EB5FF5"/>
    <w:rsid w:val="00EC1473"/>
    <w:rsid w:val="00EC7902"/>
    <w:rsid w:val="00EC7AEB"/>
    <w:rsid w:val="00ED5761"/>
    <w:rsid w:val="00EF2EE3"/>
    <w:rsid w:val="00EF5F2E"/>
    <w:rsid w:val="00F00C19"/>
    <w:rsid w:val="00F04461"/>
    <w:rsid w:val="00F052DE"/>
    <w:rsid w:val="00F063A4"/>
    <w:rsid w:val="00F07A0F"/>
    <w:rsid w:val="00F10408"/>
    <w:rsid w:val="00F10C89"/>
    <w:rsid w:val="00F15DDE"/>
    <w:rsid w:val="00F2716F"/>
    <w:rsid w:val="00F33239"/>
    <w:rsid w:val="00F40035"/>
    <w:rsid w:val="00F40BEA"/>
    <w:rsid w:val="00F43C24"/>
    <w:rsid w:val="00F46500"/>
    <w:rsid w:val="00F62262"/>
    <w:rsid w:val="00F7002B"/>
    <w:rsid w:val="00F71BD4"/>
    <w:rsid w:val="00F72C02"/>
    <w:rsid w:val="00F73617"/>
    <w:rsid w:val="00F7613D"/>
    <w:rsid w:val="00F81A8C"/>
    <w:rsid w:val="00FA0B97"/>
    <w:rsid w:val="00FA322C"/>
    <w:rsid w:val="00FC1072"/>
    <w:rsid w:val="00FD1DF6"/>
    <w:rsid w:val="00FD594F"/>
    <w:rsid w:val="00FD6402"/>
    <w:rsid w:val="00FE052B"/>
    <w:rsid w:val="00FE4D79"/>
    <w:rsid w:val="00FF07F4"/>
    <w:rsid w:val="00FF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F7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F7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16E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F5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5F2E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541D7"/>
    <w:rPr>
      <w:color w:val="0000FF" w:themeColor="hyperlink"/>
      <w:u w:val="single"/>
    </w:rPr>
  </w:style>
  <w:style w:type="paragraph" w:customStyle="1" w:styleId="Default">
    <w:name w:val="Default"/>
    <w:rsid w:val="00372319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91C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</dc:creator>
  <cp:lastModifiedBy>COFCO\liuyijia</cp:lastModifiedBy>
  <cp:revision>32</cp:revision>
  <cp:lastPrinted>2018-05-18T09:37:00Z</cp:lastPrinted>
  <dcterms:created xsi:type="dcterms:W3CDTF">2017-03-31T09:15:00Z</dcterms:created>
  <dcterms:modified xsi:type="dcterms:W3CDTF">2018-05-18T09:55:00Z</dcterms:modified>
</cp:coreProperties>
</file>