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90" w:rsidRPr="00077DC7" w:rsidRDefault="00FF4083" w:rsidP="00077DC7">
      <w:pPr>
        <w:spacing w:beforeLines="50" w:afterLines="50" w:line="460" w:lineRule="exact"/>
        <w:rPr>
          <w:rFonts w:asciiTheme="minorEastAsia" w:hAnsiTheme="minorEastAsia" w:cs="楷体_GB2312"/>
          <w:b/>
          <w:bCs/>
          <w:iCs/>
          <w:color w:val="000000"/>
          <w:sz w:val="28"/>
          <w:szCs w:val="28"/>
        </w:rPr>
      </w:pPr>
      <w:r>
        <w:rPr>
          <w:rFonts w:ascii="华文细黑" w:eastAsia="华文细黑" w:hAnsi="华文细黑" w:cs="Times New Roman" w:hint="eastAsia"/>
          <w:bCs/>
          <w:iCs/>
          <w:color w:val="000000"/>
          <w:szCs w:val="21"/>
        </w:rPr>
        <w:t xml:space="preserve">  </w:t>
      </w:r>
      <w:r>
        <w:rPr>
          <w:rFonts w:ascii="楷体_GB2312" w:eastAsia="楷体_GB2312" w:hAnsi="楷体_GB2312" w:cs="楷体_GB2312" w:hint="eastAsia"/>
          <w:bCs/>
          <w:iCs/>
          <w:color w:val="000000"/>
          <w:sz w:val="28"/>
          <w:szCs w:val="28"/>
        </w:rPr>
        <w:t xml:space="preserve">          </w:t>
      </w:r>
      <w:r w:rsidRPr="00077DC7">
        <w:rPr>
          <w:rFonts w:asciiTheme="minorEastAsia" w:hAnsiTheme="minorEastAsia" w:cs="楷体_GB2312" w:hint="eastAsia"/>
          <w:b/>
          <w:bCs/>
          <w:iCs/>
          <w:color w:val="000000"/>
          <w:sz w:val="28"/>
          <w:szCs w:val="28"/>
        </w:rPr>
        <w:t>深圳</w:t>
      </w:r>
      <w:r w:rsidRPr="00077DC7">
        <w:rPr>
          <w:rFonts w:asciiTheme="minorEastAsia" w:hAnsiTheme="minorEastAsia" w:cs="楷体_GB2312" w:hint="eastAsia"/>
          <w:b/>
          <w:bCs/>
          <w:iCs/>
          <w:color w:val="000000"/>
          <w:sz w:val="28"/>
          <w:szCs w:val="28"/>
        </w:rPr>
        <w:t>市联得自动化装备</w:t>
      </w:r>
      <w:r w:rsidRPr="00077DC7">
        <w:rPr>
          <w:rFonts w:asciiTheme="minorEastAsia" w:hAnsiTheme="minorEastAsia" w:cs="楷体_GB2312" w:hint="eastAsia"/>
          <w:b/>
          <w:bCs/>
          <w:iCs/>
          <w:color w:val="000000"/>
          <w:sz w:val="28"/>
          <w:szCs w:val="28"/>
        </w:rPr>
        <w:t>股份有限公司</w:t>
      </w:r>
    </w:p>
    <w:p w:rsidR="002E2B90" w:rsidRPr="00077DC7" w:rsidRDefault="00FF4083" w:rsidP="00077DC7">
      <w:pPr>
        <w:spacing w:beforeLines="50" w:afterLines="50" w:line="460" w:lineRule="exact"/>
        <w:rPr>
          <w:rFonts w:asciiTheme="minorEastAsia" w:hAnsiTheme="minorEastAsia" w:cs="Times New Roman"/>
          <w:b/>
          <w:bCs/>
          <w:iCs/>
          <w:color w:val="000000"/>
          <w:sz w:val="28"/>
          <w:szCs w:val="28"/>
        </w:rPr>
      </w:pPr>
      <w:r w:rsidRPr="00077DC7">
        <w:rPr>
          <w:rFonts w:asciiTheme="minorEastAsia" w:hAnsiTheme="minorEastAsia" w:cs="楷体_GB2312" w:hint="eastAsia"/>
          <w:b/>
          <w:bCs/>
          <w:iCs/>
          <w:color w:val="000000"/>
          <w:sz w:val="28"/>
          <w:szCs w:val="28"/>
        </w:rPr>
        <w:t xml:space="preserve">                 </w:t>
      </w:r>
      <w:r w:rsidRPr="00077DC7">
        <w:rPr>
          <w:rFonts w:asciiTheme="minorEastAsia" w:hAnsiTheme="minorEastAsia" w:cs="楷体_GB2312" w:hint="eastAsia"/>
          <w:b/>
          <w:bCs/>
          <w:iCs/>
          <w:color w:val="000000"/>
          <w:sz w:val="28"/>
          <w:szCs w:val="28"/>
        </w:rPr>
        <w:t>投资者关系活动记录表</w:t>
      </w:r>
    </w:p>
    <w:p w:rsidR="002E2B90" w:rsidRDefault="00FF4083" w:rsidP="00077DC7">
      <w:pPr>
        <w:spacing w:beforeLines="50" w:afterLines="50" w:line="460" w:lineRule="exact"/>
        <w:rPr>
          <w:rFonts w:ascii="华文细黑" w:eastAsia="华文细黑" w:hAnsi="华文细黑" w:cs="Times New Roman"/>
          <w:bCs/>
          <w:iCs/>
          <w:color w:val="000000"/>
          <w:szCs w:val="21"/>
        </w:rPr>
      </w:pPr>
      <w:r>
        <w:rPr>
          <w:rFonts w:ascii="华文细黑" w:eastAsia="华文细黑" w:hAnsi="华文细黑" w:cs="Times New Roman" w:hint="eastAsia"/>
          <w:bCs/>
          <w:iCs/>
          <w:color w:val="000000"/>
          <w:szCs w:val="21"/>
        </w:rPr>
        <w:t>证券简称：</w:t>
      </w:r>
      <w:r>
        <w:rPr>
          <w:rFonts w:ascii="华文细黑" w:eastAsia="华文细黑" w:hAnsi="华文细黑" w:cs="Times New Roman" w:hint="eastAsia"/>
          <w:bCs/>
          <w:iCs/>
          <w:color w:val="000000"/>
          <w:szCs w:val="21"/>
        </w:rPr>
        <w:t>联得装备</w:t>
      </w:r>
      <w:r>
        <w:rPr>
          <w:rFonts w:ascii="华文细黑" w:eastAsia="华文细黑" w:hAnsi="华文细黑" w:cs="Times New Roman" w:hint="eastAsia"/>
          <w:bCs/>
          <w:iCs/>
          <w:color w:val="000000"/>
          <w:szCs w:val="21"/>
        </w:rPr>
        <w:t xml:space="preserve">             </w:t>
      </w:r>
      <w:r>
        <w:rPr>
          <w:rFonts w:ascii="华文细黑" w:eastAsia="华文细黑" w:hAnsi="华文细黑" w:cs="Times New Roman" w:hint="eastAsia"/>
          <w:bCs/>
          <w:iCs/>
          <w:color w:val="000000"/>
          <w:szCs w:val="21"/>
        </w:rPr>
        <w:t>证券代码：</w:t>
      </w:r>
      <w:r>
        <w:rPr>
          <w:rFonts w:ascii="华文细黑" w:eastAsia="华文细黑" w:hAnsi="华文细黑" w:cs="Times New Roman" w:hint="eastAsia"/>
          <w:bCs/>
          <w:iCs/>
          <w:color w:val="000000"/>
          <w:szCs w:val="21"/>
        </w:rPr>
        <w:t>300</w:t>
      </w:r>
      <w:r>
        <w:rPr>
          <w:rFonts w:ascii="华文细黑" w:eastAsia="华文细黑" w:hAnsi="华文细黑" w:cs="Times New Roman" w:hint="eastAsia"/>
          <w:bCs/>
          <w:iCs/>
          <w:color w:val="000000"/>
          <w:szCs w:val="21"/>
        </w:rPr>
        <w:t>545</w:t>
      </w:r>
      <w:r>
        <w:rPr>
          <w:rFonts w:ascii="华文细黑" w:eastAsia="华文细黑" w:hAnsi="华文细黑" w:cs="Times New Roman" w:hint="eastAsia"/>
          <w:bCs/>
          <w:iCs/>
          <w:color w:val="000000"/>
          <w:szCs w:val="21"/>
        </w:rPr>
        <w:t xml:space="preserve">            </w:t>
      </w:r>
      <w:bookmarkStart w:id="0" w:name="_GoBack"/>
      <w:bookmarkEnd w:id="0"/>
      <w:r>
        <w:rPr>
          <w:rFonts w:ascii="华文细黑" w:eastAsia="华文细黑" w:hAnsi="华文细黑" w:cs="Times New Roman" w:hint="eastAsia"/>
          <w:bCs/>
          <w:iCs/>
          <w:color w:val="000000"/>
          <w:szCs w:val="21"/>
        </w:rPr>
        <w:t xml:space="preserve">  </w:t>
      </w:r>
      <w:r>
        <w:rPr>
          <w:rFonts w:ascii="华文细黑" w:eastAsia="华文细黑" w:hAnsi="华文细黑" w:cs="Times New Roman" w:hint="eastAsia"/>
          <w:bCs/>
          <w:iCs/>
          <w:color w:val="000000"/>
          <w:szCs w:val="21"/>
        </w:rPr>
        <w:t>编号：</w:t>
      </w:r>
      <w:r w:rsidR="00077DC7">
        <w:rPr>
          <w:rFonts w:ascii="华文细黑" w:eastAsia="华文细黑" w:hAnsi="华文细黑" w:cs="Times New Roman" w:hint="eastAsia"/>
          <w:bCs/>
          <w:iCs/>
          <w:color w:val="000000"/>
          <w:szCs w:val="21"/>
        </w:rPr>
        <w:t>2018-003</w:t>
      </w:r>
    </w:p>
    <w:tbl>
      <w:tblPr>
        <w:tblW w:w="9196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5"/>
        <w:gridCol w:w="6991"/>
      </w:tblGrid>
      <w:tr w:rsidR="002E2B9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Default="00FF4083">
            <w:pPr>
              <w:spacing w:line="460" w:lineRule="exact"/>
              <w:jc w:val="center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投资者关系活动类别</w:t>
            </w:r>
          </w:p>
          <w:p w:rsidR="002E2B90" w:rsidRDefault="002E2B90">
            <w:pPr>
              <w:spacing w:line="460" w:lineRule="exact"/>
              <w:jc w:val="center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Default="00077DC7">
            <w:pPr>
              <w:spacing w:line="460" w:lineRule="exact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 w:rsidRPr="00077DC7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█</w:t>
            </w:r>
            <w:r w:rsidR="00FF4083">
              <w:rPr>
                <w:rFonts w:ascii="华文细黑" w:eastAsia="华文细黑" w:hAnsi="华文细黑" w:cs="Times New Roman" w:hint="eastAsia"/>
                <w:szCs w:val="21"/>
              </w:rPr>
              <w:t>特定对象调研</w:t>
            </w:r>
            <w:r w:rsidR="00FF4083">
              <w:rPr>
                <w:rFonts w:ascii="华文细黑" w:eastAsia="华文细黑" w:hAnsi="华文细黑" w:cs="Times New Roman" w:hint="eastAsia"/>
                <w:szCs w:val="21"/>
              </w:rPr>
              <w:t xml:space="preserve">        </w:t>
            </w:r>
            <w:r w:rsidR="00FF4083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□</w:t>
            </w:r>
            <w:r w:rsidR="00FF4083">
              <w:rPr>
                <w:rFonts w:ascii="华文细黑" w:eastAsia="华文细黑" w:hAnsi="华文细黑" w:cs="Times New Roman" w:hint="eastAsia"/>
                <w:szCs w:val="21"/>
              </w:rPr>
              <w:t>分析师会议</w:t>
            </w:r>
          </w:p>
          <w:p w:rsidR="002E2B90" w:rsidRDefault="00FF4083">
            <w:pPr>
              <w:spacing w:line="460" w:lineRule="exact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华文细黑" w:eastAsia="华文细黑" w:hAnsi="华文细黑" w:cs="Times New Roman" w:hint="eastAsia"/>
                <w:szCs w:val="21"/>
              </w:rPr>
              <w:t>媒体采访</w:t>
            </w:r>
            <w:r>
              <w:rPr>
                <w:rFonts w:ascii="华文细黑" w:eastAsia="华文细黑" w:hAnsi="华文细黑" w:cs="Times New Roman" w:hint="eastAsia"/>
                <w:szCs w:val="21"/>
              </w:rPr>
              <w:t xml:space="preserve">            </w:t>
            </w: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华文细黑" w:eastAsia="华文细黑" w:hAnsi="华文细黑" w:cs="Times New Roman" w:hint="eastAsia"/>
                <w:szCs w:val="21"/>
              </w:rPr>
              <w:t>业绩说明会</w:t>
            </w:r>
          </w:p>
          <w:p w:rsidR="002E2B90" w:rsidRDefault="00FF4083">
            <w:pPr>
              <w:spacing w:line="460" w:lineRule="exact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华文细黑" w:eastAsia="华文细黑" w:hAnsi="华文细黑" w:cs="Times New Roman" w:hint="eastAsia"/>
                <w:szCs w:val="21"/>
              </w:rPr>
              <w:t>新闻发布会</w:t>
            </w:r>
            <w:r>
              <w:rPr>
                <w:rFonts w:ascii="华文细黑" w:eastAsia="华文细黑" w:hAnsi="华文细黑" w:cs="Times New Roman" w:hint="eastAsia"/>
                <w:szCs w:val="21"/>
              </w:rPr>
              <w:t xml:space="preserve">          </w:t>
            </w: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华文细黑" w:eastAsia="华文细黑" w:hAnsi="华文细黑" w:cs="Times New Roman" w:hint="eastAsia"/>
                <w:szCs w:val="21"/>
              </w:rPr>
              <w:t>路演活动</w:t>
            </w:r>
          </w:p>
          <w:p w:rsidR="002E2B90" w:rsidRDefault="00FF4083">
            <w:pPr>
              <w:tabs>
                <w:tab w:val="left" w:pos="3045"/>
                <w:tab w:val="center" w:pos="3199"/>
              </w:tabs>
              <w:spacing w:line="460" w:lineRule="exact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华文细黑" w:eastAsia="华文细黑" w:hAnsi="华文细黑" w:cs="Times New Roman" w:hint="eastAsia"/>
                <w:szCs w:val="21"/>
              </w:rPr>
              <w:t>现场参观</w:t>
            </w: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ab/>
            </w:r>
          </w:p>
          <w:p w:rsidR="002E2B90" w:rsidRDefault="00FF4083">
            <w:pPr>
              <w:tabs>
                <w:tab w:val="center" w:pos="3199"/>
              </w:tabs>
              <w:spacing w:line="460" w:lineRule="exact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华文细黑" w:eastAsia="华文细黑" w:hAnsi="华文细黑" w:cs="Times New Roman" w:hint="eastAsia"/>
                <w:szCs w:val="21"/>
              </w:rPr>
              <w:t>其他</w:t>
            </w:r>
            <w:r>
              <w:rPr>
                <w:rFonts w:ascii="华文细黑" w:eastAsia="华文细黑" w:hAnsi="华文细黑" w:cs="Times New Roman" w:hint="eastAsia"/>
                <w:szCs w:val="21"/>
              </w:rPr>
              <w:t xml:space="preserve"> </w:t>
            </w:r>
            <w:r>
              <w:rPr>
                <w:rFonts w:ascii="华文细黑" w:eastAsia="华文细黑" w:hAnsi="华文细黑" w:cs="Times New Roman" w:hint="eastAsia"/>
                <w:szCs w:val="21"/>
              </w:rPr>
              <w:t>___________________</w:t>
            </w:r>
          </w:p>
        </w:tc>
      </w:tr>
      <w:tr w:rsidR="002E2B9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Default="00FF4083">
            <w:pPr>
              <w:spacing w:line="460" w:lineRule="exact"/>
              <w:jc w:val="center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Default="00077DC7">
            <w:pPr>
              <w:spacing w:line="460" w:lineRule="exact"/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 xml:space="preserve">广发证券 </w:t>
            </w:r>
            <w:proofErr w:type="gramStart"/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代川</w:t>
            </w:r>
            <w:proofErr w:type="gramEnd"/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 xml:space="preserve">          华泰保险基金 刘诚霖   </w:t>
            </w:r>
          </w:p>
          <w:p w:rsidR="00077DC7" w:rsidRPr="00077DC7" w:rsidRDefault="00077DC7">
            <w:pPr>
              <w:spacing w:line="460" w:lineRule="exact"/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 xml:space="preserve">方正证券 </w:t>
            </w:r>
            <w:proofErr w:type="gramStart"/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李远剑</w:t>
            </w:r>
            <w:proofErr w:type="gramEnd"/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 xml:space="preserve">        </w:t>
            </w:r>
            <w:proofErr w:type="gramStart"/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农银汇理</w:t>
            </w:r>
            <w:proofErr w:type="gramEnd"/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基金 刘</w:t>
            </w:r>
            <w:proofErr w:type="gramStart"/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世</w:t>
            </w:r>
            <w:proofErr w:type="gramEnd"/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昌</w:t>
            </w:r>
          </w:p>
          <w:p w:rsidR="00077DC7" w:rsidRDefault="00077DC7">
            <w:pPr>
              <w:spacing w:line="460" w:lineRule="exact"/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 xml:space="preserve">安信基金 方彬          </w:t>
            </w:r>
            <w:proofErr w:type="gramStart"/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琛晟</w:t>
            </w:r>
            <w:proofErr w:type="gramEnd"/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 xml:space="preserve">资产 彭安妮       </w:t>
            </w:r>
          </w:p>
          <w:p w:rsidR="00077DC7" w:rsidRDefault="00077DC7">
            <w:pPr>
              <w:spacing w:line="460" w:lineRule="exact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宝</w:t>
            </w:r>
            <w:proofErr w:type="gramStart"/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盈基金</w:t>
            </w:r>
            <w:proofErr w:type="gramEnd"/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 xml:space="preserve"> 洪骐</w:t>
            </w:r>
          </w:p>
        </w:tc>
      </w:tr>
      <w:tr w:rsidR="002E2B9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Default="00FF4083">
            <w:pPr>
              <w:spacing w:line="460" w:lineRule="exact"/>
              <w:jc w:val="center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Default="00077DC7">
            <w:pPr>
              <w:spacing w:line="460" w:lineRule="exact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2018年6月</w:t>
            </w:r>
            <w:r w:rsidR="000B5B81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20日下午2:00</w:t>
            </w:r>
          </w:p>
        </w:tc>
      </w:tr>
      <w:tr w:rsidR="002E2B9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Default="00FF4083">
            <w:pPr>
              <w:spacing w:line="460" w:lineRule="exact"/>
              <w:jc w:val="center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Default="000B5B81">
            <w:pPr>
              <w:spacing w:line="460" w:lineRule="exact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深圳市</w:t>
            </w:r>
            <w:proofErr w:type="gramStart"/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龙华区大浪</w:t>
            </w:r>
            <w:proofErr w:type="gramEnd"/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街道大浪社区同富邨工业园A区3栋1-4层公司1号会议室</w:t>
            </w:r>
          </w:p>
        </w:tc>
      </w:tr>
      <w:tr w:rsidR="002E2B9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Default="00FF4083">
            <w:pPr>
              <w:spacing w:line="460" w:lineRule="exact"/>
              <w:jc w:val="center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上市公司接待人员</w:t>
            </w:r>
          </w:p>
          <w:p w:rsidR="002E2B90" w:rsidRDefault="00FF4083">
            <w:pPr>
              <w:spacing w:line="460" w:lineRule="exact"/>
              <w:jc w:val="center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姓名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Default="000B5B81">
            <w:pPr>
              <w:spacing w:line="460" w:lineRule="exact"/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董事会秘书:钟辉先生</w:t>
            </w:r>
          </w:p>
          <w:p w:rsidR="000B5B81" w:rsidRDefault="000B5B81">
            <w:pPr>
              <w:spacing w:line="460" w:lineRule="exact"/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证券事务代表:杨晓芬</w:t>
            </w:r>
          </w:p>
          <w:p w:rsidR="000B5B81" w:rsidRPr="000B5B81" w:rsidRDefault="000B5B81">
            <w:pPr>
              <w:spacing w:line="460" w:lineRule="exact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证券事务专员:</w:t>
            </w:r>
            <w:proofErr w:type="gramStart"/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梁伟萍</w:t>
            </w:r>
            <w:proofErr w:type="gramEnd"/>
          </w:p>
        </w:tc>
      </w:tr>
      <w:tr w:rsidR="002E2B90">
        <w:trPr>
          <w:trHeight w:val="319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90" w:rsidRDefault="00FF4083">
            <w:pPr>
              <w:spacing w:line="460" w:lineRule="exact"/>
              <w:jc w:val="center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  <w:p w:rsidR="002E2B90" w:rsidRDefault="002E2B90">
            <w:pPr>
              <w:spacing w:line="460" w:lineRule="exact"/>
              <w:jc w:val="center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0B5B81" w:rsidRDefault="000B5B81" w:rsidP="000B5B81">
            <w:pPr>
              <w:spacing w:line="460" w:lineRule="exact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 w:rsidRPr="000B5B81"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  <w:t>一、</w:t>
            </w:r>
            <w:r w:rsidRPr="000B5B81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董事会秘书钟辉先生</w:t>
            </w:r>
            <w:r w:rsidRPr="000B5B81"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  <w:t>简要介绍公司基本情况</w:t>
            </w:r>
            <w:r w:rsidRPr="000B5B81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公司基本情况介绍及2017年度业绩情况、2018年第一季度业绩情况分析。</w:t>
            </w:r>
          </w:p>
          <w:p w:rsidR="000B5B81" w:rsidRPr="000B5B81" w:rsidRDefault="000B5B81" w:rsidP="000B5B81">
            <w:pPr>
              <w:spacing w:line="460" w:lineRule="exact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 w:rsidRPr="000B5B81"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  <w:t xml:space="preserve">二、互动交流 </w:t>
            </w:r>
            <w:r w:rsidRPr="000B5B81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br/>
              <w:t xml:space="preserve">    </w:t>
            </w:r>
            <w:r w:rsidRPr="000B5B81"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  <w:t>交流问题如下：</w:t>
            </w:r>
          </w:p>
          <w:p w:rsidR="000B5B81" w:rsidRDefault="000B5B81" w:rsidP="000B5B81">
            <w:pPr>
              <w:spacing w:line="460" w:lineRule="exact"/>
              <w:ind w:firstLineChars="150" w:firstLine="315"/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</w:pPr>
            <w:r w:rsidRPr="000B5B81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Q1:公司</w:t>
            </w:r>
            <w:r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截至</w:t>
            </w:r>
            <w:r w:rsidR="0043182A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6月的各项费用情</w:t>
            </w:r>
            <w:r w:rsidRPr="000B5B81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况如何?</w:t>
            </w:r>
          </w:p>
          <w:p w:rsidR="000B5B81" w:rsidRPr="0043182A" w:rsidRDefault="0043182A" w:rsidP="000B5B81">
            <w:pPr>
              <w:spacing w:line="460" w:lineRule="exact"/>
              <w:ind w:firstLineChars="150" w:firstLine="315"/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</w:pPr>
            <w:r w:rsidRPr="0043182A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A1:</w:t>
            </w: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就目前公司情况来看,主要在财务费用及研发费用方面产生的金额</w:t>
            </w:r>
            <w:r w:rsidR="00CE2D03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增幅</w:t>
            </w: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较大,但就公司总体费用率仍保持稳定状态。</w:t>
            </w:r>
          </w:p>
          <w:p w:rsidR="000B5B81" w:rsidRPr="000B5B81" w:rsidRDefault="000B5B81" w:rsidP="000B5B81">
            <w:pPr>
              <w:spacing w:line="460" w:lineRule="exact"/>
              <w:ind w:firstLineChars="150" w:firstLine="315"/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</w:pPr>
            <w:r w:rsidRPr="000B5B81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Q2:公司目前</w:t>
            </w:r>
            <w:r w:rsidR="0043182A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的</w:t>
            </w:r>
            <w:r w:rsidRPr="000B5B81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研发人员有多少?</w:t>
            </w:r>
          </w:p>
          <w:p w:rsidR="00CE2D03" w:rsidRDefault="000B5B81" w:rsidP="000B5B81">
            <w:pPr>
              <w:spacing w:line="460" w:lineRule="exact"/>
              <w:ind w:firstLineChars="150" w:firstLine="315"/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</w:pPr>
            <w:r w:rsidRPr="00CE2D03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A2:</w:t>
            </w:r>
            <w:r w:rsidR="0043182A" w:rsidRPr="00CE2D03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 xml:space="preserve"> 公司的宗旨为“人才联科技，创新</w:t>
            </w:r>
            <w:r w:rsidR="007215C8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得</w:t>
            </w:r>
            <w:r w:rsidR="0043182A" w:rsidRPr="00CE2D03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发展”，公司十分注重人才储备工作</w:t>
            </w:r>
            <w:r w:rsidR="00CE2D03" w:rsidRPr="00CE2D03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，</w:t>
            </w:r>
            <w:r w:rsidRPr="00CE2D03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随着公司业务的拓展，规模的增大，公司研发人员人数也有了很</w:t>
            </w:r>
            <w:r w:rsidRPr="00CE2D03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lastRenderedPageBreak/>
              <w:t>大的增长，截至</w:t>
            </w:r>
            <w:r w:rsidR="00CE2D03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目前</w:t>
            </w:r>
            <w:r w:rsidRPr="00CE2D03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，研发人员人数</w:t>
            </w:r>
            <w:r w:rsidR="00CE2D03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达300多</w:t>
            </w:r>
            <w:r w:rsidRPr="00CE2D03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人。</w:t>
            </w:r>
          </w:p>
          <w:p w:rsidR="000B5B81" w:rsidRPr="000B5B81" w:rsidRDefault="00CE2D03" w:rsidP="000B5B81">
            <w:pPr>
              <w:spacing w:line="460" w:lineRule="exact"/>
              <w:ind w:firstLineChars="150" w:firstLine="315"/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 xml:space="preserve"> </w:t>
            </w:r>
            <w:r w:rsidR="000B5B81" w:rsidRPr="000B5B81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Q3：公司的大尺寸设备研发进展如何？</w:t>
            </w:r>
          </w:p>
          <w:p w:rsidR="00CE2D03" w:rsidRDefault="00CE2D03" w:rsidP="00CE2D03">
            <w:pPr>
              <w:spacing w:line="460" w:lineRule="exact"/>
              <w:ind w:firstLineChars="150" w:firstLine="315"/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</w:pPr>
            <w:r w:rsidRPr="00CE2D03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 xml:space="preserve"> </w:t>
            </w:r>
            <w:r w:rsidR="000B5B81" w:rsidRPr="00CE2D03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A3：公司的大尺寸设备研发进展顺利，公司</w:t>
            </w: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已</w:t>
            </w:r>
            <w:r w:rsidR="000B5B81" w:rsidRPr="00CE2D03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按原定计划将样机送至客户端进行调试验证，</w:t>
            </w: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目前仍处于最终验证环节，</w:t>
            </w:r>
            <w:r w:rsidR="000B5B81" w:rsidRPr="00CE2D03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如有后续进展我们会及时公告。</w:t>
            </w:r>
          </w:p>
          <w:p w:rsidR="00CE2D03" w:rsidRPr="000B5B81" w:rsidRDefault="00CE2D03" w:rsidP="00CE2D03">
            <w:pPr>
              <w:spacing w:line="460" w:lineRule="exact"/>
              <w:ind w:firstLineChars="200" w:firstLine="420"/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</w:pPr>
            <w:r w:rsidRPr="000B5B81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Q</w:t>
            </w:r>
            <w:r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4</w:t>
            </w:r>
            <w:r w:rsidRPr="000B5B81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：公司</w:t>
            </w:r>
            <w:r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行业竞争情况如何</w:t>
            </w:r>
            <w:r w:rsidRPr="000B5B81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?</w:t>
            </w:r>
            <w:r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今年有趋于缓和的</w:t>
            </w:r>
            <w:r w:rsidR="001704DF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趋势吗？</w:t>
            </w:r>
          </w:p>
          <w:p w:rsidR="000B5B81" w:rsidRPr="00CE2D03" w:rsidRDefault="00CE2D03" w:rsidP="00CE2D03">
            <w:pPr>
              <w:spacing w:line="460" w:lineRule="exact"/>
              <w:ind w:firstLineChars="150" w:firstLine="315"/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 xml:space="preserve"> </w:t>
            </w:r>
            <w:r w:rsidRPr="00CE2D03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A</w:t>
            </w:r>
            <w:r w:rsidRPr="00CE2D03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4</w:t>
            </w:r>
            <w:r w:rsidRPr="00CE2D03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:</w:t>
            </w:r>
            <w:r w:rsidR="001704DF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并没有缓和的趋势，行业红利不是谁都能轻易获得，</w:t>
            </w:r>
            <w:r w:rsidR="005F79F4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从</w:t>
            </w:r>
            <w:r w:rsidR="007215C8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整个行业来看，竞争还是十分激烈</w:t>
            </w:r>
            <w:r w:rsidR="001704DF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和残酷的，技术的更新换代太快，中小企业的技术储备就显得尤为重要，否则生存空间就非常小了。</w:t>
            </w:r>
            <w:r w:rsidR="000653EF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目前</w:t>
            </w:r>
            <w:r w:rsidR="00B25FAC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我们也在</w:t>
            </w:r>
            <w:proofErr w:type="gramStart"/>
            <w:r w:rsidR="00B25FAC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做相关</w:t>
            </w:r>
            <w:proofErr w:type="gramEnd"/>
            <w:r w:rsidR="00B25FAC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的市场策略方案，我们的技术对应了我们的竞争对手是谁，而不同段位的竞争对手也在不同程度上影响整个行业竞争格局。</w:t>
            </w:r>
            <w:r w:rsidR="000653EF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当然</w:t>
            </w:r>
            <w:r w:rsidR="00B25FAC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我们有自信凭借实力和技术立于行业领先的地位</w:t>
            </w:r>
            <w:r w:rsidR="000653EF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。</w:t>
            </w:r>
          </w:p>
          <w:p w:rsidR="000B5B81" w:rsidRPr="000B5B81" w:rsidRDefault="000B5B81" w:rsidP="000B5B81">
            <w:pPr>
              <w:spacing w:line="460" w:lineRule="exact"/>
              <w:ind w:firstLineChars="150" w:firstLine="315"/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</w:pPr>
            <w:r w:rsidRPr="000B5B81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 xml:space="preserve"> Q</w:t>
            </w:r>
            <w:r w:rsidR="00B25FAC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5</w:t>
            </w:r>
            <w:r w:rsidRPr="000B5B81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：公司</w:t>
            </w:r>
            <w:r w:rsidR="00B25FAC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今年的新产品会有哪些新突破，新产品的销售占比为多少</w:t>
            </w:r>
            <w:r w:rsidRPr="000B5B81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？</w:t>
            </w:r>
          </w:p>
          <w:p w:rsidR="00CE2D03" w:rsidRPr="000B5B81" w:rsidRDefault="000B5B81" w:rsidP="00B25FAC">
            <w:pPr>
              <w:spacing w:line="460" w:lineRule="exact"/>
              <w:ind w:firstLineChars="150" w:firstLine="315"/>
              <w:rPr>
                <w:rFonts w:ascii="华文细黑" w:eastAsia="华文细黑" w:hAnsi="华文细黑" w:cs="Times New Roman"/>
                <w:b/>
                <w:bCs/>
                <w:iCs/>
                <w:color w:val="000000"/>
                <w:szCs w:val="21"/>
              </w:rPr>
            </w:pPr>
            <w:r w:rsidRPr="00B25FAC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 xml:space="preserve"> A</w:t>
            </w:r>
            <w:r w:rsidR="00B25FAC" w:rsidRPr="00B25FAC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5</w:t>
            </w:r>
            <w:r w:rsidRPr="00B25FAC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 xml:space="preserve">: </w:t>
            </w:r>
            <w:r w:rsidR="00B25FAC" w:rsidRPr="00B25FAC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新产品的占比而言，不能一概而论。因为公司主要做的均为非标定制设备，严格来说都属于新产品，具体区分哪些属于新旧并不好比较。公司今年</w:t>
            </w:r>
            <w:r w:rsidRPr="00B25FAC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专注</w:t>
            </w:r>
            <w:r w:rsidR="00B25FAC" w:rsidRPr="00B25FAC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更多的是COF</w:t>
            </w:r>
            <w:proofErr w:type="gramStart"/>
            <w:r w:rsidR="00B25FAC" w:rsidRPr="00B25FAC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邦</w:t>
            </w:r>
            <w:proofErr w:type="gramEnd"/>
            <w:r w:rsidR="00B25FAC" w:rsidRPr="00B25FAC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定，也相信这将成为行业竞争的焦点。首先契合目前行业热衷的全面屏，而且在为数不多的国内厂家中，公司先期技术储备使得我们的设备能够在客户处得到验证，进而得到订单。同时</w:t>
            </w:r>
            <w:r w:rsidRPr="00B25FAC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今年的针对大尺寸面板的相关设备如果在客户端能顺利验证通过，应该会成为一个新的利润增长点，公司的产品结构也能够相应的做一些调整。</w:t>
            </w:r>
          </w:p>
          <w:p w:rsidR="00DA4ACD" w:rsidRPr="00DA4ACD" w:rsidRDefault="00DA4ACD" w:rsidP="00DA4ACD">
            <w:pPr>
              <w:spacing w:line="460" w:lineRule="exact"/>
              <w:ind w:firstLineChars="150" w:firstLine="315"/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 xml:space="preserve"> </w:t>
            </w:r>
            <w:r w:rsidR="000B5B81" w:rsidRPr="000B5B81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Q6：</w:t>
            </w:r>
            <w:r w:rsidRPr="00DA4ACD"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收购华洋公司一事有什么新的进展吗？</w:t>
            </w:r>
            <w:r>
              <w:rPr>
                <w:rFonts w:ascii="华文细黑" w:eastAsia="华文细黑" w:hAnsi="华文细黑" w:cs="Times New Roman" w:hint="eastAsia"/>
                <w:b/>
                <w:bCs/>
                <w:iCs/>
                <w:color w:val="000000"/>
                <w:szCs w:val="21"/>
              </w:rPr>
              <w:t>今年会对公司有什么贡献吗？</w:t>
            </w:r>
          </w:p>
          <w:p w:rsidR="002E2B90" w:rsidRPr="00DA4ACD" w:rsidRDefault="00DA4ACD" w:rsidP="00DA4ACD">
            <w:pPr>
              <w:spacing w:line="460" w:lineRule="exact"/>
              <w:ind w:firstLineChars="200" w:firstLine="420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 w:rsidRPr="00DA4ACD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A6：</w:t>
            </w: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公司目前经台湾省投审会批复后，</w:t>
            </w:r>
            <w:r w:rsidRPr="00DA4ACD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已向华洋公司的股东邱政玮先生支付收购款项，接下来需办理股权</w:t>
            </w: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转让</w:t>
            </w:r>
            <w:r w:rsidRPr="00DA4ACD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、工商变更等手续，再继续进行增资。目前华洋公司与公司的合作也</w:t>
            </w: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一直</w:t>
            </w:r>
            <w:r w:rsidRPr="00DA4ACD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在持续进行中，华洋公司也参与公司大尺寸设备</w:t>
            </w: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的AOI检测环节的研发工作</w:t>
            </w:r>
            <w:r w:rsidRPr="00DA4ACD"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。</w:t>
            </w:r>
          </w:p>
          <w:p w:rsidR="002E2B90" w:rsidRPr="00DA4ACD" w:rsidRDefault="002E2B90">
            <w:pPr>
              <w:spacing w:line="460" w:lineRule="exact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</w:p>
        </w:tc>
      </w:tr>
      <w:tr w:rsidR="002E2B90" w:rsidTr="007215C8">
        <w:trPr>
          <w:trHeight w:val="48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90" w:rsidRDefault="00FF4083">
            <w:pPr>
              <w:spacing w:line="460" w:lineRule="exact"/>
              <w:jc w:val="center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Default="00DA4ACD">
            <w:pPr>
              <w:spacing w:line="460" w:lineRule="exact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2E2B9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90" w:rsidRDefault="00FF4083">
            <w:pPr>
              <w:spacing w:line="460" w:lineRule="exact"/>
              <w:jc w:val="center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Default="000B5B81">
            <w:pPr>
              <w:spacing w:line="460" w:lineRule="exact"/>
              <w:rPr>
                <w:rFonts w:ascii="华文细黑" w:eastAsia="华文细黑" w:hAnsi="华文细黑" w:cs="Times New Roman"/>
                <w:bCs/>
                <w:iCs/>
                <w:color w:val="00000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Cs/>
                <w:iCs/>
                <w:color w:val="000000"/>
                <w:szCs w:val="21"/>
              </w:rPr>
              <w:t>2018-06-20</w:t>
            </w:r>
          </w:p>
        </w:tc>
      </w:tr>
    </w:tbl>
    <w:p w:rsidR="002E2B90" w:rsidRDefault="002E2B90" w:rsidP="007215C8"/>
    <w:sectPr w:rsidR="002E2B90" w:rsidSect="002E2B9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90" w:rsidRDefault="002E2B90" w:rsidP="002E2B90">
      <w:r>
        <w:separator/>
      </w:r>
    </w:p>
  </w:endnote>
  <w:endnote w:type="continuationSeparator" w:id="0">
    <w:p w:rsidR="002E2B90" w:rsidRDefault="002E2B90" w:rsidP="002E2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90" w:rsidRDefault="002E2B90" w:rsidP="002E2B90">
      <w:r>
        <w:separator/>
      </w:r>
    </w:p>
  </w:footnote>
  <w:footnote w:type="continuationSeparator" w:id="0">
    <w:p w:rsidR="002E2B90" w:rsidRDefault="002E2B90" w:rsidP="002E2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90" w:rsidRDefault="00FF4083" w:rsidP="000B5B81">
    <w:pPr>
      <w:widowControl/>
      <w:spacing w:line="460" w:lineRule="exact"/>
      <w:jc w:val="center"/>
      <w:rPr>
        <w:rFonts w:ascii="华文细黑" w:eastAsia="华文细黑" w:hAnsi="华文细黑" w:cs="Times New Roman"/>
        <w:b/>
        <w:szCs w:val="21"/>
      </w:rPr>
    </w:pPr>
    <w:r>
      <w:rPr>
        <w:rFonts w:ascii="华文细黑" w:eastAsia="华文细黑" w:hAnsi="华文细黑" w:cs="Times New Roman" w:hint="eastAsia"/>
        <w:b/>
        <w:szCs w:val="21"/>
      </w:rPr>
      <w:t>投资者关系活动记录表</w:t>
    </w:r>
  </w:p>
  <w:p w:rsidR="002E2B90" w:rsidRDefault="002E2B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BA5153"/>
    <w:rsid w:val="000653EF"/>
    <w:rsid w:val="00077DC7"/>
    <w:rsid w:val="000B5B81"/>
    <w:rsid w:val="001704DF"/>
    <w:rsid w:val="002E2B90"/>
    <w:rsid w:val="0043182A"/>
    <w:rsid w:val="005F79F4"/>
    <w:rsid w:val="007215C8"/>
    <w:rsid w:val="00B25FAC"/>
    <w:rsid w:val="00CE2D03"/>
    <w:rsid w:val="00DA4ACD"/>
    <w:rsid w:val="00FF4083"/>
    <w:rsid w:val="1DBA5153"/>
    <w:rsid w:val="5A58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B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E2B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E2B9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1171</Words>
  <Characters>279</Characters>
  <Application>Microsoft Office Word</Application>
  <DocSecurity>0</DocSecurity>
  <Lines>2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3</cp:revision>
  <dcterms:created xsi:type="dcterms:W3CDTF">2018-06-20T09:32:00Z</dcterms:created>
  <dcterms:modified xsi:type="dcterms:W3CDTF">2018-06-20T09:32:00Z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