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Default="00EE1C10" w:rsidP="00A77F08">
      <w:pPr>
        <w:adjustRightInd w:val="0"/>
        <w:snapToGrid w:val="0"/>
        <w:rPr>
          <w:rFonts w:ascii="Arial" w:eastAsia="华文细黑" w:hAnsi="Arial" w:hint="eastAsia"/>
          <w:bCs/>
          <w:iCs/>
          <w:color w:val="000000"/>
          <w:szCs w:val="21"/>
        </w:rPr>
      </w:pPr>
      <w:r w:rsidRPr="00B53B76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B53B76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="00A77F08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="00A77F08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="00A77F08">
        <w:rPr>
          <w:rFonts w:ascii="Arial" w:eastAsia="华文细黑" w:hAnsi="Arial" w:hint="eastAsia"/>
          <w:bCs/>
          <w:iCs/>
          <w:color w:val="000000"/>
          <w:szCs w:val="21"/>
        </w:rPr>
        <w:tab/>
      </w:r>
      <w:r w:rsidRPr="00B53B76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B53B76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A77F08" w:rsidRPr="00B53B76" w:rsidRDefault="00A77F08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</w:p>
    <w:p w:rsidR="00EE1C10" w:rsidRDefault="003317E5" w:rsidP="00A77F08">
      <w:pPr>
        <w:adjustRightInd w:val="0"/>
        <w:snapToGrid w:val="0"/>
        <w:jc w:val="center"/>
        <w:rPr>
          <w:rFonts w:ascii="Arial" w:eastAsia="华文细黑" w:hAnsi="Arial" w:hint="eastAsia"/>
          <w:b/>
          <w:bCs/>
          <w:iCs/>
          <w:color w:val="000000"/>
          <w:szCs w:val="21"/>
        </w:rPr>
      </w:pPr>
      <w:r w:rsidRPr="00D4001F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D4001F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A77F08" w:rsidRPr="00B53B76" w:rsidRDefault="00A77F08" w:rsidP="00A77F08">
      <w:pPr>
        <w:adjustRightInd w:val="0"/>
        <w:snapToGrid w:val="0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</w:p>
    <w:p w:rsidR="00EE1C10" w:rsidRPr="00B53B76" w:rsidRDefault="00EE1C10" w:rsidP="00A77F08">
      <w:pPr>
        <w:adjustRightInd w:val="0"/>
        <w:snapToGrid w:val="0"/>
        <w:rPr>
          <w:rFonts w:ascii="Arial" w:eastAsia="华文细黑" w:hAnsi="Arial"/>
          <w:bCs/>
          <w:iCs/>
          <w:color w:val="000000"/>
          <w:szCs w:val="21"/>
        </w:rPr>
      </w:pPr>
      <w:r w:rsidRPr="00B53B76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B53B76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9"/>
        <w:gridCol w:w="6713"/>
      </w:tblGrid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FF0263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B53B76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B53B76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B53B76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53B76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B53B76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53B76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53B76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B53B76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53B76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B53B76" w:rsidRDefault="00EE1C10" w:rsidP="00D4001F">
            <w:pPr>
              <w:tabs>
                <w:tab w:val="left" w:pos="2625"/>
                <w:tab w:val="center" w:pos="3199"/>
              </w:tabs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B53B76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:rsidR="00EE1C10" w:rsidRPr="00B53B76" w:rsidRDefault="00217D1A" w:rsidP="00A77F08">
            <w:pPr>
              <w:tabs>
                <w:tab w:val="center" w:pos="3199"/>
              </w:tabs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B53B76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</w:p>
        </w:tc>
      </w:tr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3312CC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长江证券调研团</w:t>
            </w:r>
          </w:p>
        </w:tc>
      </w:tr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43629D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B53B76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312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3312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26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FE093E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B80B6E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我行高管、</w:t>
            </w:r>
            <w:r w:rsidR="007A446E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5E2B57" w:rsidRDefault="00EE1C10" w:rsidP="00A77F08">
            <w:pPr>
              <w:adjustRightInd w:val="0"/>
              <w:snapToGrid w:val="0"/>
              <w:rPr>
                <w:rFonts w:ascii="华文细黑" w:eastAsia="华文细黑" w:hAnsi="华文细黑"/>
                <w:bCs/>
                <w:iCs/>
                <w:color w:val="000000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3D1272" w:rsidRPr="005E2B57" w:rsidRDefault="003D1272" w:rsidP="00A77F08">
            <w:pPr>
              <w:adjustRightInd w:val="0"/>
              <w:snapToGrid w:val="0"/>
              <w:rPr>
                <w:rFonts w:ascii="华文细黑" w:eastAsia="华文细黑" w:hAnsi="华文细黑"/>
                <w:bCs/>
                <w:iCs/>
                <w:color w:val="000000"/>
                <w:sz w:val="21"/>
                <w:szCs w:val="21"/>
              </w:rPr>
            </w:pPr>
          </w:p>
          <w:p w:rsidR="000759EC" w:rsidRPr="005E2B57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平安银行的战略转型包括哪些具体举措？</w:t>
            </w:r>
          </w:p>
          <w:p w:rsidR="000759EC" w:rsidRPr="005E2B57" w:rsidRDefault="005E2B57" w:rsidP="005E2B57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Cs w:val="21"/>
              </w:rPr>
              <w:t>本行坚持“科技引领、零售突破、对公做精”十二字转型方针，持续加强科技创新和技术运用，持续推进智能化零售银行转型，持续推动</w:t>
            </w:r>
            <w:r w:rsidRPr="005E2B57">
              <w:rPr>
                <w:rFonts w:ascii="华文细黑" w:eastAsia="华文细黑" w:hAnsi="华文细黑" w:hint="eastAsia"/>
                <w:szCs w:val="21"/>
              </w:rPr>
              <w:t>公司业务转型</w:t>
            </w:r>
            <w:r w:rsidRPr="005E2B57">
              <w:rPr>
                <w:rFonts w:ascii="华文细黑" w:eastAsia="华文细黑" w:hAnsi="华文细黑" w:hint="eastAsia"/>
                <w:szCs w:val="21"/>
              </w:rPr>
              <w:t>，各项业务稳健发展，资产质量稳中趋好，战略转型成效进一步显现</w:t>
            </w:r>
            <w:r w:rsidR="00116BB1" w:rsidRPr="005E2B57">
              <w:rPr>
                <w:rFonts w:ascii="华文细黑" w:eastAsia="华文细黑" w:hAnsi="华文细黑" w:cs="Arial Unicode MS" w:hint="eastAsia"/>
                <w:kern w:val="2"/>
                <w:sz w:val="21"/>
                <w:szCs w:val="21"/>
              </w:rPr>
              <w:t>。</w:t>
            </w:r>
          </w:p>
          <w:p w:rsidR="000759EC" w:rsidRPr="005E2B57" w:rsidRDefault="000759EC" w:rsidP="00A77F08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</w:p>
          <w:p w:rsidR="003D1272" w:rsidRPr="005E2B57" w:rsidRDefault="003D1272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零售利润贡献占比目标</w:t>
            </w:r>
          </w:p>
          <w:p w:rsidR="003D1272" w:rsidRPr="005E2B57" w:rsidRDefault="005E2B57" w:rsidP="005E2B57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 w:cs="宋体" w:hint="eastAsia"/>
                <w:bCs/>
                <w:szCs w:val="21"/>
              </w:rPr>
            </w:pPr>
            <w:r w:rsidRPr="005E2B57">
              <w:rPr>
                <w:rFonts w:ascii="华文细黑" w:eastAsia="华文细黑" w:hAnsi="华文细黑" w:cs="宋体" w:hint="eastAsia"/>
                <w:bCs/>
                <w:szCs w:val="21"/>
              </w:rPr>
              <w:t>本行贯彻“科技引领”的主线，促进零售业务和互联网从线上到线下加速融合和创新。同时，本行继续深化综合金融优势，实现业务持续、稳定、快速增长</w:t>
            </w:r>
            <w:r w:rsidRPr="005E2B57">
              <w:rPr>
                <w:rFonts w:ascii="华文细黑" w:eastAsia="华文细黑" w:hAnsi="华文细黑" w:cs="宋体" w:hint="eastAsia"/>
                <w:bCs/>
                <w:szCs w:val="21"/>
              </w:rPr>
              <w:t>。</w:t>
            </w:r>
          </w:p>
          <w:p w:rsidR="005E2B57" w:rsidRPr="005E2B57" w:rsidRDefault="005E2B57" w:rsidP="005E2B57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</w:p>
          <w:p w:rsidR="002507F2" w:rsidRPr="005E2B57" w:rsidRDefault="002507F2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未来对公怎么发展</w:t>
            </w:r>
          </w:p>
          <w:p w:rsidR="005E2B57" w:rsidRPr="005E2B57" w:rsidRDefault="005E2B57" w:rsidP="005E2B57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 w:hint="eastAsia"/>
                <w:bCs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Cs/>
                <w:szCs w:val="21"/>
              </w:rPr>
              <w:t>面对强监管、去杠杆的外部形势和行内战略转型的持续深入，本行继续践行“行业化、专业化、投行化、轻资本、轻资产”三化两轻的转型路线，构建“对公做精”新常态。</w:t>
            </w:r>
          </w:p>
          <w:p w:rsidR="003D1272" w:rsidRPr="005E2B57" w:rsidRDefault="003D1272" w:rsidP="00A77F08">
            <w:pPr>
              <w:adjustRightInd w:val="0"/>
              <w:snapToGrid w:val="0"/>
              <w:rPr>
                <w:rFonts w:ascii="华文细黑" w:eastAsia="华文细黑" w:hAnsi="华文细黑"/>
                <w:sz w:val="21"/>
                <w:szCs w:val="21"/>
              </w:rPr>
            </w:pPr>
          </w:p>
          <w:p w:rsidR="000759EC" w:rsidRPr="005E2B57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针对资产质量问题，有什么计划和措施？</w:t>
            </w:r>
          </w:p>
          <w:p w:rsidR="00B53B76" w:rsidRPr="005E2B57" w:rsidRDefault="005E2B57" w:rsidP="005E2B57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 w:hint="eastAsia"/>
              </w:rPr>
            </w:pPr>
            <w:r w:rsidRPr="005E2B57">
              <w:rPr>
                <w:rFonts w:ascii="华文细黑" w:eastAsia="华文细黑" w:hAnsi="华文细黑" w:hint="eastAsia"/>
                <w:szCs w:val="21"/>
              </w:rPr>
              <w:t>本行积极应对外部风险、调整业务结构，将贷款投放到资产质量更好的零售业务，对公持续做精，同时，严格管控增量业务风险，对存量贷款进行全面排查、有序化解。</w:t>
            </w:r>
          </w:p>
          <w:p w:rsidR="006E5283" w:rsidRPr="00AA5A95" w:rsidRDefault="006E5283" w:rsidP="00A77F08">
            <w:pPr>
              <w:adjustRightInd w:val="0"/>
              <w:snapToGrid w:val="0"/>
              <w:rPr>
                <w:rStyle w:val="a8"/>
                <w:rFonts w:ascii="Arial" w:eastAsia="华文细黑" w:hAnsi="Arial"/>
                <w:sz w:val="21"/>
                <w:szCs w:val="21"/>
                <w:lang w:eastAsia="zh-CN"/>
              </w:rPr>
            </w:pPr>
          </w:p>
          <w:p w:rsidR="00B53B76" w:rsidRPr="00B53B76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B53B76">
              <w:rPr>
                <w:rFonts w:ascii="Arial" w:eastAsia="华文细黑" w:hAnsi="Arial"/>
                <w:b/>
                <w:sz w:val="21"/>
                <w:szCs w:val="21"/>
              </w:rPr>
              <w:t>不良贷款增长原因分析及未来趋势？</w:t>
            </w:r>
            <w:r w:rsidRPr="00B53B76">
              <w:rPr>
                <w:rFonts w:ascii="Arial" w:eastAsia="华文细黑" w:hAnsi="Arial"/>
                <w:b/>
                <w:sz w:val="21"/>
                <w:szCs w:val="21"/>
              </w:rPr>
              <w:t xml:space="preserve"> </w:t>
            </w:r>
          </w:p>
          <w:p w:rsidR="00B53B76" w:rsidRPr="005E2B57" w:rsidRDefault="00B53B76" w:rsidP="005E2B57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截至报告期末</w:t>
            </w:r>
            <w:r w:rsidRPr="005E2B57">
              <w:rPr>
                <w:rFonts w:ascii="华文细黑" w:eastAsia="华文细黑" w:hAnsi="华文细黑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不良贷款率为</w:t>
            </w:r>
            <w:r w:rsidR="005E2B57" w:rsidRPr="005E2B57">
              <w:rPr>
                <w:rFonts w:ascii="华文细黑" w:eastAsia="华文细黑" w:hAnsi="华文细黑"/>
                <w:szCs w:val="21"/>
              </w:rPr>
              <w:t>1.68%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，较上年末微降</w:t>
            </w:r>
            <w:r w:rsidR="005E2B57" w:rsidRPr="005E2B57">
              <w:rPr>
                <w:rFonts w:ascii="华文细黑" w:eastAsia="华文细黑" w:hAnsi="华文细黑"/>
                <w:szCs w:val="21"/>
              </w:rPr>
              <w:t>0.02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个百分点</w:t>
            </w:r>
            <w:r w:rsidRPr="005E2B57">
              <w:rPr>
                <w:rFonts w:ascii="华文细黑" w:eastAsia="华文细黑" w:hAnsi="华文细黑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不良贷款主要集中在制造业和零售经营性贷款</w:t>
            </w:r>
            <w:r w:rsidR="005E2B57" w:rsidRPr="005E2B57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  <w:r w:rsidR="00D4001F">
              <w:rPr>
                <w:rFonts w:ascii="华文细黑" w:eastAsia="华文细黑" w:hAnsi="华文细黑" w:hint="eastAsia"/>
                <w:sz w:val="21"/>
                <w:szCs w:val="21"/>
              </w:rPr>
              <w:t>此外，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一季度本行计提的资产减值损失为</w:t>
            </w:r>
            <w:r w:rsidR="005E2B57" w:rsidRPr="005E2B57">
              <w:rPr>
                <w:rFonts w:ascii="华文细黑" w:eastAsia="华文细黑" w:hAnsi="华文细黑"/>
                <w:szCs w:val="21"/>
              </w:rPr>
              <w:t>106.71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亿元、同比降幅</w:t>
            </w:r>
            <w:r w:rsidR="005E2B57" w:rsidRPr="005E2B57">
              <w:rPr>
                <w:rFonts w:ascii="华文细黑" w:eastAsia="华文细黑" w:hAnsi="华文细黑"/>
                <w:szCs w:val="21"/>
              </w:rPr>
              <w:t>14.2%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；拨贷比为</w:t>
            </w:r>
            <w:r w:rsidR="005E2B57" w:rsidRPr="005E2B57">
              <w:rPr>
                <w:rFonts w:ascii="华文细黑" w:eastAsia="华文细黑" w:hAnsi="华文细黑"/>
                <w:szCs w:val="21"/>
              </w:rPr>
              <w:t>2.90%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；拨备覆盖率为</w:t>
            </w:r>
            <w:r w:rsidR="005E2B57" w:rsidRPr="005E2B57">
              <w:rPr>
                <w:rFonts w:ascii="华文细黑" w:eastAsia="华文细黑" w:hAnsi="华文细黑"/>
                <w:szCs w:val="21"/>
              </w:rPr>
              <w:t>172.65 %</w:t>
            </w:r>
            <w:r w:rsidR="005E2B57" w:rsidRPr="005E2B57">
              <w:rPr>
                <w:rFonts w:ascii="华文细黑" w:eastAsia="华文细黑" w:hAnsi="华文细黑" w:hint="eastAsia"/>
                <w:szCs w:val="21"/>
              </w:rPr>
              <w:t>。</w:t>
            </w:r>
            <w:bookmarkStart w:id="0" w:name="_GoBack"/>
            <w:bookmarkEnd w:id="0"/>
          </w:p>
          <w:p w:rsidR="00B53B76" w:rsidRPr="005E2B57" w:rsidRDefault="00B53B76" w:rsidP="00A77F08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</w:p>
          <w:p w:rsidR="00FD6551" w:rsidRPr="005E2B57" w:rsidRDefault="00FD6551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行业的系统性风险，如何规避</w:t>
            </w:r>
          </w:p>
          <w:p w:rsidR="00FD6551" w:rsidRPr="005E2B57" w:rsidRDefault="00FD6551" w:rsidP="00116BB1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1）经济环境：判断经济是否好转，也是要看行业的。积极跟上经济变化，及时进入朝阳行业。</w:t>
            </w:r>
          </w:p>
          <w:p w:rsidR="00FD6551" w:rsidRPr="005E2B57" w:rsidRDefault="00FD6551" w:rsidP="00116BB1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2）技术挑战</w:t>
            </w:r>
            <w:r w:rsidR="00414783" w:rsidRPr="005E2B57">
              <w:rPr>
                <w:rFonts w:ascii="华文细黑" w:eastAsia="华文细黑" w:hAnsi="华文细黑" w:hint="eastAsia"/>
                <w:sz w:val="21"/>
                <w:szCs w:val="21"/>
              </w:rPr>
              <w:t>：金融科技和跨界挑战。</w:t>
            </w:r>
            <w:r w:rsidR="00BE2AEB" w:rsidRPr="005E2B57">
              <w:rPr>
                <w:rFonts w:ascii="华文细黑" w:eastAsia="华文细黑" w:hAnsi="华文细黑" w:hint="eastAsia"/>
                <w:sz w:val="21"/>
                <w:szCs w:val="21"/>
              </w:rPr>
              <w:t>优势有集团</w:t>
            </w: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，目前的零售行长是IT背景，对技术的投入和理解很深，关注用户体验。</w:t>
            </w:r>
          </w:p>
          <w:p w:rsidR="00FD6551" w:rsidRPr="005E2B57" w:rsidRDefault="00FD6551" w:rsidP="00116BB1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3）数据挑战：未来放贷要依靠数据，</w:t>
            </w:r>
            <w:r w:rsidR="00414783" w:rsidRPr="005E2B57">
              <w:rPr>
                <w:rFonts w:ascii="华文细黑" w:eastAsia="华文细黑" w:hAnsi="华文细黑" w:hint="eastAsia"/>
                <w:sz w:val="21"/>
                <w:szCs w:val="21"/>
              </w:rPr>
              <w:t>充分利用互联网平台和场景结合，</w:t>
            </w: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抢占先机。</w:t>
            </w:r>
          </w:p>
          <w:p w:rsidR="00FD6551" w:rsidRPr="005E2B57" w:rsidRDefault="00FD6551" w:rsidP="00A77F08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</w:p>
          <w:p w:rsidR="00B53B76" w:rsidRPr="005E2B57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现在集团的1.3亿客户未来是否都能变成银行客户</w:t>
            </w:r>
          </w:p>
          <w:p w:rsidR="00B53B76" w:rsidRPr="005E2B57" w:rsidRDefault="00B53B76" w:rsidP="00116BB1">
            <w:pPr>
              <w:adjustRightInd w:val="0"/>
              <w:snapToGrid w:val="0"/>
              <w:ind w:firstLineChars="150" w:firstLine="315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全部转换是不可能的。我们要创造好的服务和场景，争取尽可能多的转化。</w:t>
            </w:r>
          </w:p>
          <w:p w:rsidR="00B53B76" w:rsidRPr="005E2B57" w:rsidRDefault="00B53B76" w:rsidP="00A77F08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</w:p>
          <w:p w:rsidR="00B53B76" w:rsidRPr="005E2B57" w:rsidRDefault="00B53B76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bookmarkStart w:id="1" w:name="_Toc496018961"/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网点规划</w:t>
            </w:r>
            <w:bookmarkEnd w:id="1"/>
          </w:p>
          <w:p w:rsidR="00B53B76" w:rsidRPr="005E2B57" w:rsidRDefault="00B53B76" w:rsidP="00A77F08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截至报告期末，我行共有</w:t>
            </w:r>
            <w:r w:rsidR="00D4001F">
              <w:rPr>
                <w:rFonts w:ascii="华文细黑" w:eastAsia="华文细黑" w:hAnsi="华文细黑" w:hint="eastAsia"/>
                <w:sz w:val="21"/>
                <w:szCs w:val="21"/>
              </w:rPr>
              <w:t>70</w:t>
            </w: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家分行，合计10</w:t>
            </w:r>
            <w:r w:rsidR="00D4001F">
              <w:rPr>
                <w:rFonts w:ascii="华文细黑" w:eastAsia="华文细黑" w:hAnsi="华文细黑" w:hint="eastAsia"/>
                <w:sz w:val="21"/>
                <w:szCs w:val="21"/>
              </w:rPr>
              <w:t>66</w:t>
            </w: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家营业机构。未来我行网点将转为以零售业务为主，推动“不排队的银行”改造项目和客户经理积分制考核，提升客户体验。</w:t>
            </w:r>
          </w:p>
          <w:p w:rsidR="00B53B76" w:rsidRPr="005E2B57" w:rsidRDefault="00B53B76" w:rsidP="00A77F08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</w:p>
          <w:p w:rsidR="000759EC" w:rsidRPr="005E2B57" w:rsidRDefault="000759EC" w:rsidP="00A77F08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对资本充足率的规划？是否纳入系统重要性银行?</w:t>
            </w:r>
          </w:p>
          <w:p w:rsidR="000759EC" w:rsidRPr="005E2B57" w:rsidRDefault="005E2B57" w:rsidP="005E2B57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2018年3月26日，本行收到《中国银监会关于平安银行公开发行 A 股可转换公司债券相关事宜的批复》（银监复【2018】71 号）。中国银监会同意本行公开发行不超过260亿元人民币的A股可转换公司债券，在转股后按照相关监管要求计入本行核心一级资本。本次发行尚须经</w:t>
            </w:r>
            <w:r w:rsidRPr="005E2B57">
              <w:rPr>
                <w:rFonts w:ascii="华文细黑" w:eastAsia="华文细黑" w:hAnsi="华文细黑" w:hint="eastAsia"/>
                <w:szCs w:val="21"/>
                <w:lang w:val="en-GB"/>
              </w:rPr>
              <w:t>中国证监会核准后方可实施，并最终以前述监管机构核准的方案为准</w:t>
            </w:r>
            <w:r w:rsidR="000759EC" w:rsidRPr="005E2B57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217D1A" w:rsidRPr="005E2B57" w:rsidRDefault="00217D1A" w:rsidP="00A77F08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 w:cs="宋体"/>
                <w:sz w:val="21"/>
                <w:szCs w:val="21"/>
                <w:lang w:eastAsia="zh-TW"/>
              </w:rPr>
            </w:pPr>
          </w:p>
          <w:p w:rsidR="00EE1C10" w:rsidRPr="00B53B76" w:rsidRDefault="00A140B8" w:rsidP="00A77F0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217D1A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3312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312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一</w:t>
            </w:r>
            <w:r w:rsidR="00701559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季度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D87038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PPT</w:t>
            </w:r>
            <w:r w:rsidR="00D87038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（请参见</w:t>
            </w:r>
            <w:r w:rsidR="00D87038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bank.pingan.com</w:t>
            </w:r>
            <w:r w:rsidR="00D87038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</w:t>
            </w:r>
            <w:r w:rsidR="00D87038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-</w:t>
            </w:r>
            <w:r w:rsidR="00D87038"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公司推介栏目）</w:t>
            </w:r>
          </w:p>
        </w:tc>
      </w:tr>
      <w:tr w:rsidR="00EE1C10" w:rsidRPr="00B53B76" w:rsidTr="007352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53B76" w:rsidRDefault="00EE1C10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日期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53B76" w:rsidRDefault="00761259" w:rsidP="00A77F08">
            <w:pPr>
              <w:adjustRightInd w:val="0"/>
              <w:snapToGrid w:val="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1056C7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1056C7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3312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  <w:r w:rsidRPr="00B53B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312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26</w:t>
            </w:r>
          </w:p>
        </w:tc>
      </w:tr>
    </w:tbl>
    <w:p w:rsidR="00941F1C" w:rsidRPr="00B53B76" w:rsidRDefault="00941F1C" w:rsidP="00A77F08">
      <w:pPr>
        <w:adjustRightInd w:val="0"/>
        <w:snapToGrid w:val="0"/>
        <w:rPr>
          <w:rFonts w:ascii="Arial" w:eastAsia="华文细黑" w:hAnsi="Arial"/>
          <w:szCs w:val="21"/>
        </w:rPr>
      </w:pPr>
    </w:p>
    <w:sectPr w:rsidR="00941F1C" w:rsidRPr="00B53B76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8" w:rsidRDefault="00821638" w:rsidP="00D96584">
      <w:r>
        <w:separator/>
      </w:r>
    </w:p>
  </w:endnote>
  <w:endnote w:type="continuationSeparator" w:id="0">
    <w:p w:rsidR="00821638" w:rsidRDefault="00821638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8" w:rsidRDefault="00821638" w:rsidP="00D96584">
      <w:r>
        <w:separator/>
      </w:r>
    </w:p>
  </w:footnote>
  <w:footnote w:type="continuationSeparator" w:id="0">
    <w:p w:rsidR="00821638" w:rsidRDefault="00821638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3207F8"/>
    <w:multiLevelType w:val="hybridMultilevel"/>
    <w:tmpl w:val="534C172C"/>
    <w:lvl w:ilvl="0" w:tplc="584856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6300A8"/>
    <w:multiLevelType w:val="hybridMultilevel"/>
    <w:tmpl w:val="18DE4E96"/>
    <w:lvl w:ilvl="0" w:tplc="2368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1F05AE"/>
    <w:multiLevelType w:val="hybridMultilevel"/>
    <w:tmpl w:val="B6BE1424"/>
    <w:lvl w:ilvl="0" w:tplc="BA782F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3C061DA"/>
    <w:multiLevelType w:val="hybridMultilevel"/>
    <w:tmpl w:val="0812F6D2"/>
    <w:lvl w:ilvl="0" w:tplc="13E44F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3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24"/>
  </w:num>
  <w:num w:numId="13">
    <w:abstractNumId w:val="9"/>
  </w:num>
  <w:num w:numId="14">
    <w:abstractNumId w:val="27"/>
  </w:num>
  <w:num w:numId="15">
    <w:abstractNumId w:val="18"/>
  </w:num>
  <w:num w:numId="16">
    <w:abstractNumId w:val="19"/>
  </w:num>
  <w:num w:numId="17">
    <w:abstractNumId w:val="16"/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7"/>
  </w:num>
  <w:num w:numId="24">
    <w:abstractNumId w:val="15"/>
  </w:num>
  <w:num w:numId="25">
    <w:abstractNumId w:val="4"/>
  </w:num>
  <w:num w:numId="26">
    <w:abstractNumId w:val="11"/>
  </w:num>
  <w:num w:numId="27">
    <w:abstractNumId w:val="8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759EC"/>
    <w:rsid w:val="00083D6A"/>
    <w:rsid w:val="000B3693"/>
    <w:rsid w:val="000B41B6"/>
    <w:rsid w:val="00101C48"/>
    <w:rsid w:val="001056C7"/>
    <w:rsid w:val="00116BB1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07F2"/>
    <w:rsid w:val="002C2DE8"/>
    <w:rsid w:val="003312CC"/>
    <w:rsid w:val="003317E5"/>
    <w:rsid w:val="003B107D"/>
    <w:rsid w:val="003B721F"/>
    <w:rsid w:val="003D1272"/>
    <w:rsid w:val="003F678F"/>
    <w:rsid w:val="003F79D6"/>
    <w:rsid w:val="00414783"/>
    <w:rsid w:val="0043629D"/>
    <w:rsid w:val="00497C7E"/>
    <w:rsid w:val="004B47B1"/>
    <w:rsid w:val="004D5568"/>
    <w:rsid w:val="0051123B"/>
    <w:rsid w:val="00535D6F"/>
    <w:rsid w:val="00550FD9"/>
    <w:rsid w:val="00560782"/>
    <w:rsid w:val="005E2B57"/>
    <w:rsid w:val="00622C3A"/>
    <w:rsid w:val="00623A26"/>
    <w:rsid w:val="0063326E"/>
    <w:rsid w:val="00644502"/>
    <w:rsid w:val="006879F9"/>
    <w:rsid w:val="006A1753"/>
    <w:rsid w:val="006E5283"/>
    <w:rsid w:val="006F5270"/>
    <w:rsid w:val="006F64B3"/>
    <w:rsid w:val="00701559"/>
    <w:rsid w:val="007352F2"/>
    <w:rsid w:val="00761259"/>
    <w:rsid w:val="007A446E"/>
    <w:rsid w:val="007A6147"/>
    <w:rsid w:val="007C213F"/>
    <w:rsid w:val="008168BD"/>
    <w:rsid w:val="00821638"/>
    <w:rsid w:val="00845B88"/>
    <w:rsid w:val="00862CF2"/>
    <w:rsid w:val="008710F9"/>
    <w:rsid w:val="00880699"/>
    <w:rsid w:val="00880D7D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F13CD"/>
    <w:rsid w:val="009F7669"/>
    <w:rsid w:val="00A06B39"/>
    <w:rsid w:val="00A140B8"/>
    <w:rsid w:val="00A253E3"/>
    <w:rsid w:val="00A67D55"/>
    <w:rsid w:val="00A77F08"/>
    <w:rsid w:val="00AB47CE"/>
    <w:rsid w:val="00AB67BB"/>
    <w:rsid w:val="00AC6336"/>
    <w:rsid w:val="00B02237"/>
    <w:rsid w:val="00B31C4E"/>
    <w:rsid w:val="00B53B76"/>
    <w:rsid w:val="00B708D6"/>
    <w:rsid w:val="00B80B6E"/>
    <w:rsid w:val="00B84A84"/>
    <w:rsid w:val="00BA391A"/>
    <w:rsid w:val="00BB741D"/>
    <w:rsid w:val="00BE11BC"/>
    <w:rsid w:val="00BE2AEB"/>
    <w:rsid w:val="00BE3743"/>
    <w:rsid w:val="00C12E89"/>
    <w:rsid w:val="00C35BCB"/>
    <w:rsid w:val="00C51768"/>
    <w:rsid w:val="00C81677"/>
    <w:rsid w:val="00CA1629"/>
    <w:rsid w:val="00CB4AC9"/>
    <w:rsid w:val="00CE65F3"/>
    <w:rsid w:val="00CF5B55"/>
    <w:rsid w:val="00D36577"/>
    <w:rsid w:val="00D4001F"/>
    <w:rsid w:val="00D50045"/>
    <w:rsid w:val="00D87038"/>
    <w:rsid w:val="00D91B1B"/>
    <w:rsid w:val="00D96584"/>
    <w:rsid w:val="00DD192F"/>
    <w:rsid w:val="00DE3CAE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17533"/>
    <w:rsid w:val="00F60746"/>
    <w:rsid w:val="00F628CA"/>
    <w:rsid w:val="00F66AD9"/>
    <w:rsid w:val="00FD6551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219</Words>
  <Characters>1251</Characters>
  <Application>Microsoft Office Word</Application>
  <DocSecurity>0</DocSecurity>
  <Lines>10</Lines>
  <Paragraphs>2</Paragraphs>
  <ScaleCrop>false</ScaleCrop>
  <Company>sdb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15</cp:revision>
  <dcterms:created xsi:type="dcterms:W3CDTF">2017-08-08T09:37:00Z</dcterms:created>
  <dcterms:modified xsi:type="dcterms:W3CDTF">2018-08-14T11:12:00Z</dcterms:modified>
</cp:coreProperties>
</file>