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7552EB" w:rsidRDefault="00E2322A" w:rsidP="00FE3214">
      <w:pPr>
        <w:spacing w:after="0" w:line="360" w:lineRule="auto"/>
      </w:pPr>
      <w:r w:rsidRPr="007552EB">
        <w:rPr>
          <w:rFonts w:hint="eastAsia"/>
        </w:rPr>
        <w:t>证券代码：</w:t>
      </w:r>
      <w:r w:rsidRPr="007552EB">
        <w:rPr>
          <w:rFonts w:ascii="Times New Roman" w:hAnsi="Times New Roman"/>
        </w:rPr>
        <w:t>300613</w:t>
      </w:r>
      <w:r w:rsidRPr="007552EB">
        <w:t xml:space="preserve">                                           </w:t>
      </w:r>
      <w:r w:rsidR="00DC0DA2">
        <w:rPr>
          <w:rFonts w:hint="eastAsia"/>
        </w:rPr>
        <w:t xml:space="preserve">  </w:t>
      </w:r>
      <w:r w:rsidRPr="007552EB">
        <w:t xml:space="preserve"> </w:t>
      </w:r>
      <w:r w:rsidRPr="007552EB">
        <w:rPr>
          <w:rFonts w:hint="eastAsia"/>
        </w:rPr>
        <w:t>证券简称：富瀚微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="00DF4B26">
        <w:rPr>
          <w:rFonts w:ascii="Times New Roman" w:hAnsi="Times New Roman"/>
          <w:noProof/>
          <w:spacing w:val="-2"/>
          <w:w w:val="98"/>
          <w:szCs w:val="21"/>
        </w:rPr>
        <w:t>201</w:t>
      </w:r>
      <w:r w:rsidR="00DF4B26">
        <w:rPr>
          <w:rFonts w:ascii="Times New Roman" w:hAnsi="Times New Roman" w:hint="eastAsia"/>
          <w:noProof/>
          <w:spacing w:val="-2"/>
          <w:w w:val="98"/>
          <w:szCs w:val="21"/>
        </w:rPr>
        <w:t>8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 w:rsidR="00BE6F66">
        <w:rPr>
          <w:rFonts w:ascii="Times New Roman" w:hAnsi="Times New Roman" w:hint="eastAsia"/>
          <w:noProof/>
          <w:spacing w:val="-2"/>
          <w:w w:val="98"/>
          <w:szCs w:val="21"/>
        </w:rPr>
        <w:t>4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E2322A" w:rsidRPr="00974890" w:rsidTr="00184D73"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E36755">
            <w:pPr>
              <w:tabs>
                <w:tab w:val="left" w:pos="2628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="00E36755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2322A" w:rsidRPr="00974890" w:rsidTr="00184D73">
        <w:trPr>
          <w:trHeight w:val="2787"/>
        </w:trPr>
        <w:tc>
          <w:tcPr>
            <w:tcW w:w="1951" w:type="dxa"/>
            <w:vAlign w:val="center"/>
          </w:tcPr>
          <w:p w:rsidR="00E2322A" w:rsidRPr="00974890" w:rsidRDefault="00E2322A" w:rsidP="00E36755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88" w:type="dxa"/>
          </w:tcPr>
          <w:p w:rsidR="00A615A0" w:rsidRDefault="0073020B" w:rsidP="00184D73">
            <w:pPr>
              <w:rPr>
                <w:sz w:val="24"/>
                <w:szCs w:val="44"/>
              </w:rPr>
            </w:pPr>
            <w:proofErr w:type="gramStart"/>
            <w:r w:rsidRPr="0073020B">
              <w:rPr>
                <w:rFonts w:hint="eastAsia"/>
                <w:sz w:val="24"/>
                <w:szCs w:val="44"/>
              </w:rPr>
              <w:t>申万宏源证券</w:t>
            </w:r>
            <w:proofErr w:type="gramEnd"/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施鑫展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73020B">
              <w:rPr>
                <w:rFonts w:hint="eastAsia"/>
                <w:sz w:val="24"/>
                <w:szCs w:val="44"/>
              </w:rPr>
              <w:t>华金证券</w:t>
            </w:r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 w:rsidRPr="0073020B">
              <w:rPr>
                <w:rFonts w:hint="eastAsia"/>
                <w:sz w:val="24"/>
                <w:szCs w:val="44"/>
              </w:rPr>
              <w:t>蔡景彦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 w:rsidR="00A615A0">
              <w:rPr>
                <w:rFonts w:hint="eastAsia"/>
                <w:sz w:val="24"/>
                <w:szCs w:val="44"/>
              </w:rPr>
              <w:t xml:space="preserve"> </w:t>
            </w:r>
            <w:r w:rsidR="00A615A0" w:rsidRPr="00A615A0">
              <w:rPr>
                <w:rFonts w:hint="eastAsia"/>
                <w:sz w:val="24"/>
                <w:szCs w:val="44"/>
              </w:rPr>
              <w:t>民生证券</w:t>
            </w:r>
            <w:r w:rsidR="00A615A0" w:rsidRPr="00A615A0">
              <w:rPr>
                <w:rFonts w:hint="eastAsia"/>
                <w:sz w:val="24"/>
                <w:szCs w:val="44"/>
              </w:rPr>
              <w:t xml:space="preserve"> </w:t>
            </w:r>
            <w:r w:rsidR="00A615A0" w:rsidRPr="00A615A0">
              <w:rPr>
                <w:rFonts w:hint="eastAsia"/>
                <w:sz w:val="24"/>
                <w:szCs w:val="44"/>
              </w:rPr>
              <w:t>王达婷</w:t>
            </w:r>
          </w:p>
          <w:p w:rsidR="00A615A0" w:rsidRDefault="0073020B" w:rsidP="00184D73">
            <w:pPr>
              <w:rPr>
                <w:sz w:val="24"/>
                <w:szCs w:val="44"/>
              </w:rPr>
            </w:pPr>
            <w:proofErr w:type="gramStart"/>
            <w:r w:rsidRPr="0073020B">
              <w:rPr>
                <w:rFonts w:hint="eastAsia"/>
                <w:sz w:val="24"/>
                <w:szCs w:val="44"/>
              </w:rPr>
              <w:t>浙商证券</w:t>
            </w:r>
            <w:proofErr w:type="gramEnd"/>
            <w:r w:rsidR="00A615A0">
              <w:rPr>
                <w:rFonts w:hint="eastAsia"/>
                <w:sz w:val="24"/>
                <w:szCs w:val="44"/>
              </w:rPr>
              <w:t xml:space="preserve"> </w:t>
            </w:r>
            <w:r w:rsidRPr="0073020B">
              <w:rPr>
                <w:rFonts w:hint="eastAsia"/>
                <w:sz w:val="24"/>
                <w:szCs w:val="44"/>
              </w:rPr>
              <w:t>李双亮、孙芳芳</w:t>
            </w:r>
            <w:r w:rsidR="00A615A0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="00A615A0" w:rsidRPr="00A615A0">
              <w:rPr>
                <w:rFonts w:hint="eastAsia"/>
                <w:sz w:val="24"/>
                <w:szCs w:val="44"/>
              </w:rPr>
              <w:t>浙商基金</w:t>
            </w:r>
            <w:proofErr w:type="gramEnd"/>
            <w:r w:rsidR="00A615A0" w:rsidRPr="00A615A0">
              <w:rPr>
                <w:rFonts w:hint="eastAsia"/>
                <w:sz w:val="24"/>
                <w:szCs w:val="44"/>
              </w:rPr>
              <w:t>王斌</w:t>
            </w:r>
            <w:r w:rsidR="00A615A0">
              <w:rPr>
                <w:rFonts w:hint="eastAsia"/>
                <w:sz w:val="24"/>
                <w:szCs w:val="44"/>
              </w:rPr>
              <w:t xml:space="preserve">  </w:t>
            </w:r>
          </w:p>
          <w:p w:rsidR="0073020B" w:rsidRPr="0073020B" w:rsidRDefault="0073020B" w:rsidP="00184D73">
            <w:pPr>
              <w:rPr>
                <w:sz w:val="24"/>
                <w:szCs w:val="44"/>
              </w:rPr>
            </w:pPr>
            <w:r w:rsidRPr="0073020B">
              <w:rPr>
                <w:rFonts w:hint="eastAsia"/>
                <w:sz w:val="24"/>
                <w:szCs w:val="44"/>
              </w:rPr>
              <w:t>中泰证券</w:t>
            </w:r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 w:rsidRPr="0073020B">
              <w:rPr>
                <w:rFonts w:hint="eastAsia"/>
                <w:sz w:val="24"/>
                <w:szCs w:val="44"/>
              </w:rPr>
              <w:t>张欣、佘凌星</w:t>
            </w:r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 w:rsidRPr="0073020B">
              <w:rPr>
                <w:rFonts w:hint="eastAsia"/>
                <w:sz w:val="24"/>
                <w:szCs w:val="44"/>
              </w:rPr>
              <w:t>国盛证券</w:t>
            </w:r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 w:rsidRPr="0073020B">
              <w:rPr>
                <w:rFonts w:hint="eastAsia"/>
                <w:sz w:val="24"/>
                <w:szCs w:val="44"/>
              </w:rPr>
              <w:t>徐斌毅、钟琳</w:t>
            </w:r>
          </w:p>
          <w:p w:rsidR="00A615A0" w:rsidRDefault="0073020B" w:rsidP="00184D73">
            <w:pPr>
              <w:rPr>
                <w:sz w:val="24"/>
                <w:szCs w:val="44"/>
              </w:rPr>
            </w:pPr>
            <w:r w:rsidRPr="0073020B">
              <w:rPr>
                <w:rFonts w:hint="eastAsia"/>
                <w:sz w:val="24"/>
                <w:szCs w:val="44"/>
              </w:rPr>
              <w:t>兴</w:t>
            </w:r>
            <w:proofErr w:type="gramStart"/>
            <w:r w:rsidRPr="0073020B">
              <w:rPr>
                <w:rFonts w:hint="eastAsia"/>
                <w:sz w:val="24"/>
                <w:szCs w:val="44"/>
              </w:rPr>
              <w:t>全基金</w:t>
            </w:r>
            <w:proofErr w:type="gramEnd"/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孟灿</w:t>
            </w:r>
            <w:r w:rsidR="00A615A0">
              <w:rPr>
                <w:rFonts w:hint="eastAsia"/>
                <w:sz w:val="24"/>
                <w:szCs w:val="44"/>
              </w:rPr>
              <w:t xml:space="preserve">  </w:t>
            </w:r>
            <w:proofErr w:type="gramStart"/>
            <w:r w:rsidRPr="0073020B">
              <w:rPr>
                <w:rFonts w:hint="eastAsia"/>
                <w:sz w:val="24"/>
                <w:szCs w:val="44"/>
              </w:rPr>
              <w:t>世</w:t>
            </w:r>
            <w:proofErr w:type="gramEnd"/>
            <w:r w:rsidRPr="0073020B">
              <w:rPr>
                <w:rFonts w:hint="eastAsia"/>
                <w:sz w:val="24"/>
                <w:szCs w:val="44"/>
              </w:rPr>
              <w:t>诚投资</w:t>
            </w:r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沙小川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73020B">
              <w:rPr>
                <w:rFonts w:hint="eastAsia"/>
                <w:sz w:val="24"/>
                <w:szCs w:val="44"/>
              </w:rPr>
              <w:t>域秀资本</w:t>
            </w:r>
            <w:proofErr w:type="gramEnd"/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曹植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</w:p>
          <w:p w:rsidR="00B60ABF" w:rsidRPr="00B60ABF" w:rsidRDefault="0073020B" w:rsidP="00184D73">
            <w:pPr>
              <w:rPr>
                <w:sz w:val="24"/>
                <w:szCs w:val="44"/>
              </w:rPr>
            </w:pPr>
            <w:r w:rsidRPr="0073020B">
              <w:rPr>
                <w:rFonts w:hint="eastAsia"/>
                <w:sz w:val="24"/>
                <w:szCs w:val="44"/>
              </w:rPr>
              <w:t>沃</w:t>
            </w:r>
            <w:proofErr w:type="gramStart"/>
            <w:r w:rsidRPr="0073020B">
              <w:rPr>
                <w:rFonts w:hint="eastAsia"/>
                <w:sz w:val="24"/>
                <w:szCs w:val="44"/>
              </w:rPr>
              <w:t>珑</w:t>
            </w:r>
            <w:proofErr w:type="gramEnd"/>
            <w:r w:rsidRPr="0073020B">
              <w:rPr>
                <w:rFonts w:hint="eastAsia"/>
                <w:sz w:val="24"/>
                <w:szCs w:val="44"/>
              </w:rPr>
              <w:t>港</w:t>
            </w:r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单瞳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73020B">
              <w:rPr>
                <w:rFonts w:hint="eastAsia"/>
                <w:sz w:val="24"/>
                <w:szCs w:val="44"/>
              </w:rPr>
              <w:t>博</w:t>
            </w:r>
            <w:proofErr w:type="gramStart"/>
            <w:r w:rsidRPr="0073020B">
              <w:rPr>
                <w:rFonts w:hint="eastAsia"/>
                <w:sz w:val="24"/>
                <w:szCs w:val="44"/>
              </w:rPr>
              <w:t>颐</w:t>
            </w:r>
            <w:proofErr w:type="gramEnd"/>
            <w:r w:rsidRPr="0073020B">
              <w:rPr>
                <w:rFonts w:hint="eastAsia"/>
                <w:sz w:val="24"/>
                <w:szCs w:val="44"/>
              </w:rPr>
              <w:t>投资</w:t>
            </w:r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 w:rsidRPr="0073020B">
              <w:rPr>
                <w:rFonts w:hint="eastAsia"/>
                <w:sz w:val="24"/>
                <w:szCs w:val="44"/>
              </w:rPr>
              <w:t>颜晓峰</w:t>
            </w:r>
            <w:r w:rsidRPr="0073020B">
              <w:rPr>
                <w:rFonts w:hint="eastAsia"/>
                <w:sz w:val="24"/>
                <w:szCs w:val="44"/>
              </w:rPr>
              <w:t> </w:t>
            </w:r>
            <w:proofErr w:type="gramStart"/>
            <w:r w:rsidRPr="0073020B">
              <w:rPr>
                <w:rFonts w:hint="eastAsia"/>
                <w:sz w:val="24"/>
                <w:szCs w:val="44"/>
              </w:rPr>
              <w:t>标朴投资</w:t>
            </w:r>
            <w:proofErr w:type="gramEnd"/>
            <w:r w:rsidRPr="0073020B">
              <w:rPr>
                <w:rFonts w:hint="eastAsia"/>
                <w:sz w:val="24"/>
                <w:szCs w:val="44"/>
              </w:rPr>
              <w:t xml:space="preserve"> </w:t>
            </w:r>
            <w:r w:rsidRPr="0073020B">
              <w:rPr>
                <w:rFonts w:hint="eastAsia"/>
                <w:sz w:val="24"/>
                <w:szCs w:val="44"/>
              </w:rPr>
              <w:t>周明巍</w:t>
            </w:r>
          </w:p>
        </w:tc>
      </w:tr>
      <w:tr w:rsidR="00E2322A" w:rsidRPr="00974890" w:rsidTr="00184D73">
        <w:trPr>
          <w:trHeight w:val="580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8" w:type="dxa"/>
            <w:vAlign w:val="center"/>
          </w:tcPr>
          <w:p w:rsidR="00E2322A" w:rsidRPr="00C9042F" w:rsidRDefault="00DF4B26" w:rsidP="00CA50DC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E6F6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月</w:t>
            </w:r>
            <w:r w:rsidR="00BE6F6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31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2322A" w:rsidRPr="00974890" w:rsidTr="00184D73">
        <w:trPr>
          <w:trHeight w:val="591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8" w:type="dxa"/>
            <w:vAlign w:val="center"/>
          </w:tcPr>
          <w:p w:rsidR="00E2322A" w:rsidRPr="00974890" w:rsidRDefault="00E2322A" w:rsidP="00E5728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C6D26" w:rsidTr="00184D73">
        <w:trPr>
          <w:trHeight w:val="1032"/>
        </w:trPr>
        <w:tc>
          <w:tcPr>
            <w:tcW w:w="1951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 w:rsidR="00BE6F66" w:rsidRDefault="00BE6F66" w:rsidP="00CA50DC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公司董事、高级运营副总裁谢煜璋先生</w:t>
            </w:r>
          </w:p>
          <w:p w:rsidR="00356B08" w:rsidRPr="00E57287" w:rsidRDefault="00EB7048" w:rsidP="00CA50DC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7458A" w:rsidRP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董</w:t>
            </w:r>
            <w:r w:rsidR="00CA50DC">
              <w:rPr>
                <w:rFonts w:ascii="宋体" w:hAnsi="宋体" w:hint="eastAsia"/>
                <w:bCs/>
                <w:iCs/>
                <w:color w:val="000000"/>
                <w:sz w:val="24"/>
              </w:rPr>
              <w:t>事会秘书、财务总监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冯小军</w:t>
            </w:r>
            <w:r w:rsidR="00BE6F66">
              <w:rPr>
                <w:rFonts w:ascii="宋体" w:hAnsi="宋体" w:hint="eastAsia"/>
                <w:bCs/>
                <w:iCs/>
                <w:color w:val="000000"/>
                <w:sz w:val="24"/>
              </w:rPr>
              <w:t>女士</w:t>
            </w:r>
          </w:p>
        </w:tc>
      </w:tr>
      <w:tr w:rsidR="00E2322A" w:rsidRPr="00974890" w:rsidTr="00184D73">
        <w:trPr>
          <w:trHeight w:val="841"/>
        </w:trPr>
        <w:tc>
          <w:tcPr>
            <w:tcW w:w="1951" w:type="dxa"/>
            <w:vAlign w:val="center"/>
          </w:tcPr>
          <w:p w:rsidR="00EB7048" w:rsidRDefault="00EB7048" w:rsidP="00F849C7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088" w:type="dxa"/>
          </w:tcPr>
          <w:p w:rsidR="00D76AEF" w:rsidRDefault="00B25724" w:rsidP="00184D73">
            <w:pPr>
              <w:spacing w:beforeLines="50" w:before="156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简要介绍公司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上半年经营情况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BE6F66" w:rsidRPr="00BE6F66" w:rsidRDefault="00D76AEF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营收：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上半年营收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2.04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亿，同比增长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5.38%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，其中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Q1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营收为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8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632.43 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万元，同比增长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2.38 %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Q2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营收为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11,810.25 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万元，同比增长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7.7 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%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Q2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环比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Q1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营收增幅为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36.81%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E6F66" w:rsidRPr="00BE6F66" w:rsidRDefault="00D76AEF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净利：不考虑股权激励摊销费用对净利的影响，</w:t>
            </w:r>
            <w:r w:rsidRPr="00D76A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公司上半年</w:t>
            </w:r>
            <w:proofErr w:type="gramStart"/>
            <w:r w:rsidRPr="00D76A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归母净利润</w:t>
            </w:r>
            <w:proofErr w:type="gramEnd"/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425.64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万元，同比下降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6.1%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E6F66" w:rsidRPr="00BE6F66" w:rsidRDefault="00D76AEF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产品：</w:t>
            </w:r>
            <w:r w:rsidR="00364851" w:rsidRP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2018</w:t>
            </w:r>
            <w:r w:rsidR="00364851" w:rsidRP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年上半年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视频监控多媒体处理芯片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收入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较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2017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同期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长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15.</w:t>
            </w:r>
            <w:r w:rsidR="00A84AF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89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%</w:t>
            </w:r>
            <w:r w:rsidR="0014755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量增长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22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%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由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于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入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幅度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且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毛利率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相对较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，产品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</w:t>
            </w:r>
            <w:r w:rsidR="0036485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结构</w:t>
            </w:r>
            <w:r w:rsid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变化造成综合</w:t>
            </w:r>
            <w:r w:rsid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毛利率下降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.29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公司研发投入</w:t>
            </w:r>
            <w:r w:rsidR="00D76A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</w:t>
            </w:r>
            <w:r w:rsidR="00D76A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109.85%</w:t>
            </w:r>
            <w:r w:rsidR="00D76A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主要来自于人力资源投入</w:t>
            </w:r>
            <w:r w:rsidR="00D76A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364851" w:rsidRPr="003648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截至今年上半年末，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公司总人数为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230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人，其中研发人员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195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人，占比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85%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7418D" w:rsidRPr="00BE6F66" w:rsidRDefault="00B25724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二、</w:t>
            </w:r>
            <w:r w:rsidR="00D7418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问答环节：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 w:rsidR="00A469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0B661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在当前</w:t>
            </w:r>
            <w:r w:rsidR="00753E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市场竞争格局</w:t>
            </w:r>
            <w:r w:rsidR="000B661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下，</w:t>
            </w:r>
            <w:r w:rsidR="00A469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公司产品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毛利率趋势？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D7418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国内外反</w:t>
            </w:r>
            <w:proofErr w:type="gramStart"/>
            <w:r w:rsidR="00D7418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恐形势</w:t>
            </w:r>
            <w:proofErr w:type="gramEnd"/>
            <w:r w:rsidR="00D7418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及安全稳定需求增加，安防业务市场被更多玩家看好</w:t>
            </w:r>
            <w:r w:rsidR="00753E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，竞争日趋激烈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产品出货稳定，市场份额高，产品由原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720P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主导向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K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过渡，毛利率略有下降；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产品公司目前仍处于开拓市场份额阶段，通过产品性能的不断提升，以性价比优势占领市场份额，随着份额增加，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毛利率将会有所改善。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：供给大客户价格有波动吗？营业成本上涨的影响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：大客户采购会存在定期的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议价；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晶圆、</w:t>
            </w:r>
            <w:proofErr w:type="gramStart"/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封测价格</w:t>
            </w:r>
            <w:proofErr w:type="gramEnd"/>
            <w:r w:rsidR="00C727A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与供应</w:t>
            </w:r>
            <w:proofErr w:type="gramStart"/>
            <w:r w:rsidR="00C727A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商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保持</w:t>
            </w:r>
            <w:proofErr w:type="gramEnd"/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稳定，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其他如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内存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成本上涨会对成本有一些影响。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265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最新进展如何？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：目前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265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芯片已完成样片试制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，将进入客户小批量试产阶段。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：根据半年报，公司与对海康销售额为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1.37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亿，对其它客户销售额则同比下降，是什么原因？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A81B0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：行业现状即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下游市场份额</w:t>
            </w:r>
            <w:r w:rsidR="00753E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向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大安防厂商集中</w:t>
            </w:r>
            <w:r w:rsidR="00A81B0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，小厂家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量在减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少。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：网络摄像机芯片市场竞争</w:t>
            </w:r>
            <w:r w:rsidR="00753E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状况</w:t>
            </w:r>
            <w:r w:rsidR="00AA00B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？公司在消费</w:t>
            </w:r>
            <w:proofErr w:type="gramStart"/>
            <w:r w:rsidR="00AA00B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端产品</w:t>
            </w:r>
            <w:proofErr w:type="gramEnd"/>
            <w:r w:rsidR="00AA00B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的布局？</w:t>
            </w:r>
          </w:p>
          <w:p w:rsidR="00796407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：网络摄像机</w:t>
            </w:r>
            <w:r w:rsidR="00184D7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</w:t>
            </w:r>
            <w:r w:rsidR="00ED377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竞争格局相对激烈，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作为集成电路设计行业，</w:t>
            </w:r>
            <w:r w:rsidR="00E44C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技术、资金、人才门槛较</w:t>
            </w:r>
            <w:r w:rsidR="005D5F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高</w:t>
            </w:r>
            <w:r w:rsidR="00E44C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ED377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在该行业中占</w:t>
            </w:r>
            <w:r w:rsidR="006D2614" w:rsidRP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主导地位</w:t>
            </w:r>
            <w:r w:rsidR="006D2614" w:rsidRP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6D2614" w:rsidRP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并不多</w:t>
            </w:r>
            <w:r w:rsidR="00AA00B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ED377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AA00B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主要面对专业安防市场</w:t>
            </w:r>
            <w:r w:rsidR="00ED377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，同时积极布局消费领域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Q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：公司上半年研发费用翻倍增长原因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：主要用于研发人力投入、购买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设计软件、</w:t>
            </w:r>
            <w:r w:rsidR="00E05D0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、研发设备等。</w:t>
            </w:r>
          </w:p>
          <w:p w:rsidR="006D2614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：贸易战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对公司影响？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42781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贸易战从目前看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可能对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下游客户心理</w:t>
            </w:r>
            <w:r w:rsidR="008725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影响，</w:t>
            </w:r>
            <w:r w:rsidR="00E90A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在备货上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相对以前</w:t>
            </w:r>
            <w:r w:rsidR="00697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可能</w:t>
            </w:r>
            <w:r w:rsidR="00E90A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偏谨慎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保守一些</w:t>
            </w:r>
            <w:r w:rsidR="00942A4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；目前</w:t>
            </w:r>
            <w:r w:rsidR="00191AE5" w:rsidRPr="00191A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并未</w:t>
            </w:r>
            <w:r w:rsidR="00942A4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对业务</w:t>
            </w:r>
            <w:r w:rsidR="00191A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942A4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实质影响。</w:t>
            </w:r>
            <w:bookmarkStart w:id="0" w:name="_GoBack"/>
            <w:bookmarkEnd w:id="0"/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：未来公司新产品规划？</w:t>
            </w:r>
          </w:p>
          <w:p w:rsidR="00BE6F66" w:rsidRPr="00BE6F66" w:rsidRDefault="00BE6F66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184D7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将继续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跟进大客户需求</w:t>
            </w:r>
            <w:r w:rsidR="00B64E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补齐、补缺系列产品</w:t>
            </w:r>
            <w:r w:rsidR="00B64E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；往更高清晰度深入；</w:t>
            </w:r>
            <w:r w:rsidR="007964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IPC</w:t>
            </w:r>
            <w:r w:rsidR="005876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SoC</w:t>
            </w:r>
            <w:r w:rsidR="00ED377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产品推进</w:t>
            </w:r>
            <w:r w:rsidR="00B64E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ED377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方面以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算力、智能模块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加</w:t>
            </w:r>
            <w:r w:rsidR="00B64E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速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应用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落地。以更丰富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线覆盖由低端至高端</w:t>
            </w:r>
            <w:r w:rsidR="00B64E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84D7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</w:t>
            </w:r>
            <w:r w:rsidR="006D261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满足客户多样化</w:t>
            </w:r>
            <w:r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需求。</w:t>
            </w:r>
          </w:p>
          <w:p w:rsidR="00BE6F66" w:rsidRPr="00BE6F66" w:rsidRDefault="006D2614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公司通过车</w:t>
            </w:r>
            <w:proofErr w:type="gramStart"/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级芯片影响？</w:t>
            </w:r>
          </w:p>
          <w:p w:rsidR="00ED377B" w:rsidRPr="00ED377B" w:rsidRDefault="006D2614" w:rsidP="00184D7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BE6F66" w:rsidRPr="00BE6F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E90A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FH8310</w:t>
            </w:r>
            <w:proofErr w:type="gramStart"/>
            <w:r w:rsidR="00377D09" w:rsidRPr="00377D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E90A8E" w:rsidRPr="00E90A8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获</w:t>
            </w:r>
            <w:proofErr w:type="gramEnd"/>
            <w:r w:rsidR="00E90A8E" w:rsidRPr="00E90A8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AEC-Q100</w:t>
            </w:r>
            <w:r w:rsidR="00E90A8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D1C5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Grade </w:t>
            </w:r>
            <w:r w:rsidR="00E90A8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8D1C5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车</w:t>
            </w:r>
            <w:proofErr w:type="gramStart"/>
            <w:r w:rsidR="008D1C55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="00E90A8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级</w:t>
            </w:r>
            <w:r w:rsidR="00E90A8E" w:rsidRPr="00E90A8E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认证</w:t>
            </w:r>
            <w:r w:rsidR="00E90A8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AA00BF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证明</w:t>
            </w:r>
            <w:r w:rsidR="00E90A8E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产品在高</w:t>
            </w:r>
            <w:r w:rsidR="00E90A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可靠性等方面满足苛刻的前装车载产品要求，</w:t>
            </w:r>
            <w:r w:rsidR="00AA00B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公司高标准的</w:t>
            </w:r>
            <w:r w:rsidR="008D1C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质控流程</w:t>
            </w:r>
            <w:r w:rsidR="00AA00B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体系将引领公司产品在未来国产替代上实现更多可能。</w:t>
            </w:r>
          </w:p>
        </w:tc>
      </w:tr>
      <w:tr w:rsidR="00E2322A" w:rsidRPr="00974890" w:rsidTr="00184D73">
        <w:tc>
          <w:tcPr>
            <w:tcW w:w="1951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8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184D73">
        <w:trPr>
          <w:trHeight w:val="416"/>
        </w:trPr>
        <w:tc>
          <w:tcPr>
            <w:tcW w:w="1951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8" w:type="dxa"/>
          </w:tcPr>
          <w:p w:rsidR="00E2322A" w:rsidRPr="00B04A94" w:rsidRDefault="00356B08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8C09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8C09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184D73">
      <w:pPr>
        <w:tabs>
          <w:tab w:val="left" w:pos="645"/>
        </w:tabs>
        <w:adjustRightInd w:val="0"/>
        <w:snapToGrid w:val="0"/>
        <w:spacing w:line="300" w:lineRule="auto"/>
      </w:pPr>
    </w:p>
    <w:sectPr w:rsidR="00E2322A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0A" w:rsidRDefault="00652D0A" w:rsidP="0001341D">
      <w:pPr>
        <w:spacing w:after="0" w:line="240" w:lineRule="auto"/>
      </w:pPr>
      <w:r>
        <w:separator/>
      </w:r>
    </w:p>
  </w:endnote>
  <w:endnote w:type="continuationSeparator" w:id="0">
    <w:p w:rsidR="00652D0A" w:rsidRDefault="00652D0A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AE5">
      <w:rPr>
        <w:rStyle w:val="a6"/>
        <w:noProof/>
      </w:rPr>
      <w:t>3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0A" w:rsidRDefault="00652D0A" w:rsidP="0001341D">
      <w:pPr>
        <w:spacing w:after="0" w:line="240" w:lineRule="auto"/>
      </w:pPr>
      <w:r>
        <w:separator/>
      </w:r>
    </w:p>
  </w:footnote>
  <w:footnote w:type="continuationSeparator" w:id="0">
    <w:p w:rsidR="00652D0A" w:rsidRDefault="00652D0A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37A96EA"/>
    <w:multiLevelType w:val="hybridMultilevel"/>
    <w:tmpl w:val="F52B79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B646BB"/>
    <w:multiLevelType w:val="hybridMultilevel"/>
    <w:tmpl w:val="F112DDC0"/>
    <w:lvl w:ilvl="0" w:tplc="CC28B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D874FC8"/>
    <w:multiLevelType w:val="hybridMultilevel"/>
    <w:tmpl w:val="EA8EDCA8"/>
    <w:lvl w:ilvl="0" w:tplc="B52E3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EC8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61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8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4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8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CD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0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C3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冯小军">
    <w15:presenceInfo w15:providerId="None" w15:userId="冯小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05778"/>
    <w:rsid w:val="00010513"/>
    <w:rsid w:val="0001341D"/>
    <w:rsid w:val="0001562D"/>
    <w:rsid w:val="00017016"/>
    <w:rsid w:val="0002052E"/>
    <w:rsid w:val="0002086D"/>
    <w:rsid w:val="00021056"/>
    <w:rsid w:val="000211C3"/>
    <w:rsid w:val="000234F1"/>
    <w:rsid w:val="000270F4"/>
    <w:rsid w:val="00031D54"/>
    <w:rsid w:val="00034E0D"/>
    <w:rsid w:val="000357BC"/>
    <w:rsid w:val="00060871"/>
    <w:rsid w:val="000660A4"/>
    <w:rsid w:val="000678FB"/>
    <w:rsid w:val="000712A4"/>
    <w:rsid w:val="00072FE7"/>
    <w:rsid w:val="00073C9C"/>
    <w:rsid w:val="00074455"/>
    <w:rsid w:val="00074A6E"/>
    <w:rsid w:val="00077F9E"/>
    <w:rsid w:val="00081DB2"/>
    <w:rsid w:val="00085D89"/>
    <w:rsid w:val="00093727"/>
    <w:rsid w:val="00093C72"/>
    <w:rsid w:val="000971D9"/>
    <w:rsid w:val="000972DE"/>
    <w:rsid w:val="00097397"/>
    <w:rsid w:val="000A6EFB"/>
    <w:rsid w:val="000B2112"/>
    <w:rsid w:val="000B6616"/>
    <w:rsid w:val="000C491C"/>
    <w:rsid w:val="000C4BC6"/>
    <w:rsid w:val="000C61A5"/>
    <w:rsid w:val="000D60C2"/>
    <w:rsid w:val="000E0A06"/>
    <w:rsid w:val="000E1044"/>
    <w:rsid w:val="000E22C3"/>
    <w:rsid w:val="000E5F49"/>
    <w:rsid w:val="000E7865"/>
    <w:rsid w:val="000E7BE1"/>
    <w:rsid w:val="000F3BD4"/>
    <w:rsid w:val="000F4889"/>
    <w:rsid w:val="0010419A"/>
    <w:rsid w:val="0010483B"/>
    <w:rsid w:val="00112D73"/>
    <w:rsid w:val="0011406C"/>
    <w:rsid w:val="001164D9"/>
    <w:rsid w:val="001203E6"/>
    <w:rsid w:val="0012179B"/>
    <w:rsid w:val="00121C0A"/>
    <w:rsid w:val="00122471"/>
    <w:rsid w:val="001226FC"/>
    <w:rsid w:val="0012464C"/>
    <w:rsid w:val="00132D9D"/>
    <w:rsid w:val="00133060"/>
    <w:rsid w:val="0013726A"/>
    <w:rsid w:val="00137ABA"/>
    <w:rsid w:val="00145256"/>
    <w:rsid w:val="00145BE6"/>
    <w:rsid w:val="00146BF2"/>
    <w:rsid w:val="00147558"/>
    <w:rsid w:val="00152DDD"/>
    <w:rsid w:val="00154AA5"/>
    <w:rsid w:val="00155B8C"/>
    <w:rsid w:val="00160332"/>
    <w:rsid w:val="0016532B"/>
    <w:rsid w:val="00165DEE"/>
    <w:rsid w:val="0016722F"/>
    <w:rsid w:val="00170D53"/>
    <w:rsid w:val="001732CE"/>
    <w:rsid w:val="0017458A"/>
    <w:rsid w:val="001760EF"/>
    <w:rsid w:val="001770FC"/>
    <w:rsid w:val="00177300"/>
    <w:rsid w:val="00182B5B"/>
    <w:rsid w:val="00184D73"/>
    <w:rsid w:val="00191748"/>
    <w:rsid w:val="00191AE5"/>
    <w:rsid w:val="0019693E"/>
    <w:rsid w:val="001A12CF"/>
    <w:rsid w:val="001A1AAB"/>
    <w:rsid w:val="001A1EEB"/>
    <w:rsid w:val="001A4393"/>
    <w:rsid w:val="001A5037"/>
    <w:rsid w:val="001A6471"/>
    <w:rsid w:val="001B0BF6"/>
    <w:rsid w:val="001B1D4B"/>
    <w:rsid w:val="001B3AB8"/>
    <w:rsid w:val="001B3AF0"/>
    <w:rsid w:val="001B711C"/>
    <w:rsid w:val="001C0971"/>
    <w:rsid w:val="001C10AA"/>
    <w:rsid w:val="001C4089"/>
    <w:rsid w:val="001C77BA"/>
    <w:rsid w:val="001D4984"/>
    <w:rsid w:val="001D557B"/>
    <w:rsid w:val="001E6D7E"/>
    <w:rsid w:val="001F185C"/>
    <w:rsid w:val="001F3C30"/>
    <w:rsid w:val="001F41DE"/>
    <w:rsid w:val="001F6DF9"/>
    <w:rsid w:val="001F7B2F"/>
    <w:rsid w:val="002050D7"/>
    <w:rsid w:val="0021505D"/>
    <w:rsid w:val="00224EC3"/>
    <w:rsid w:val="00225266"/>
    <w:rsid w:val="00226505"/>
    <w:rsid w:val="00232F21"/>
    <w:rsid w:val="002346FC"/>
    <w:rsid w:val="002401F1"/>
    <w:rsid w:val="0024257F"/>
    <w:rsid w:val="0024279A"/>
    <w:rsid w:val="0024287B"/>
    <w:rsid w:val="00250239"/>
    <w:rsid w:val="00252935"/>
    <w:rsid w:val="002574D7"/>
    <w:rsid w:val="00262EA8"/>
    <w:rsid w:val="00264C5D"/>
    <w:rsid w:val="002655D8"/>
    <w:rsid w:val="00272285"/>
    <w:rsid w:val="002726C8"/>
    <w:rsid w:val="002767B6"/>
    <w:rsid w:val="002857DD"/>
    <w:rsid w:val="00287A5A"/>
    <w:rsid w:val="002940BE"/>
    <w:rsid w:val="00297767"/>
    <w:rsid w:val="002A172D"/>
    <w:rsid w:val="002A712F"/>
    <w:rsid w:val="002A7A66"/>
    <w:rsid w:val="002B10D6"/>
    <w:rsid w:val="002D36A1"/>
    <w:rsid w:val="002D3FF4"/>
    <w:rsid w:val="002D56EF"/>
    <w:rsid w:val="002D622C"/>
    <w:rsid w:val="002D646C"/>
    <w:rsid w:val="002E0361"/>
    <w:rsid w:val="002E258A"/>
    <w:rsid w:val="002E6B8E"/>
    <w:rsid w:val="002F0F58"/>
    <w:rsid w:val="002F105D"/>
    <w:rsid w:val="002F5FD5"/>
    <w:rsid w:val="00302CF8"/>
    <w:rsid w:val="00303D79"/>
    <w:rsid w:val="00307524"/>
    <w:rsid w:val="00313C4C"/>
    <w:rsid w:val="003141D1"/>
    <w:rsid w:val="003148CD"/>
    <w:rsid w:val="0031701C"/>
    <w:rsid w:val="00317633"/>
    <w:rsid w:val="00321CF1"/>
    <w:rsid w:val="00325809"/>
    <w:rsid w:val="003266DE"/>
    <w:rsid w:val="003334E9"/>
    <w:rsid w:val="0033681D"/>
    <w:rsid w:val="00342685"/>
    <w:rsid w:val="003531DA"/>
    <w:rsid w:val="003554FE"/>
    <w:rsid w:val="00356B08"/>
    <w:rsid w:val="00357785"/>
    <w:rsid w:val="00361900"/>
    <w:rsid w:val="00364412"/>
    <w:rsid w:val="00364851"/>
    <w:rsid w:val="00371B72"/>
    <w:rsid w:val="003744A6"/>
    <w:rsid w:val="00375D55"/>
    <w:rsid w:val="0037666F"/>
    <w:rsid w:val="0037683B"/>
    <w:rsid w:val="00377D09"/>
    <w:rsid w:val="0038048C"/>
    <w:rsid w:val="00384D08"/>
    <w:rsid w:val="00386085"/>
    <w:rsid w:val="00390CF2"/>
    <w:rsid w:val="00392303"/>
    <w:rsid w:val="00392C5A"/>
    <w:rsid w:val="00395847"/>
    <w:rsid w:val="00397155"/>
    <w:rsid w:val="003A7EDD"/>
    <w:rsid w:val="003B71FF"/>
    <w:rsid w:val="003C5439"/>
    <w:rsid w:val="003D0158"/>
    <w:rsid w:val="003D1507"/>
    <w:rsid w:val="003D16D2"/>
    <w:rsid w:val="003D1CA8"/>
    <w:rsid w:val="003D307B"/>
    <w:rsid w:val="003E1BD9"/>
    <w:rsid w:val="003E2DBD"/>
    <w:rsid w:val="003E648B"/>
    <w:rsid w:val="003F24D7"/>
    <w:rsid w:val="003F35F0"/>
    <w:rsid w:val="003F489F"/>
    <w:rsid w:val="003F5F3B"/>
    <w:rsid w:val="00401800"/>
    <w:rsid w:val="004019E0"/>
    <w:rsid w:val="00403D52"/>
    <w:rsid w:val="00406588"/>
    <w:rsid w:val="00413377"/>
    <w:rsid w:val="00415DB9"/>
    <w:rsid w:val="00422B10"/>
    <w:rsid w:val="0042781A"/>
    <w:rsid w:val="00431755"/>
    <w:rsid w:val="004326E8"/>
    <w:rsid w:val="004349B2"/>
    <w:rsid w:val="00435C4E"/>
    <w:rsid w:val="00436450"/>
    <w:rsid w:val="0043728F"/>
    <w:rsid w:val="00442778"/>
    <w:rsid w:val="00442C5E"/>
    <w:rsid w:val="00444CBE"/>
    <w:rsid w:val="00453478"/>
    <w:rsid w:val="00453F15"/>
    <w:rsid w:val="00457772"/>
    <w:rsid w:val="00461804"/>
    <w:rsid w:val="004643F1"/>
    <w:rsid w:val="00473805"/>
    <w:rsid w:val="00475B38"/>
    <w:rsid w:val="004778D5"/>
    <w:rsid w:val="00480C5E"/>
    <w:rsid w:val="0048259B"/>
    <w:rsid w:val="00483C6C"/>
    <w:rsid w:val="00483E2F"/>
    <w:rsid w:val="00485E26"/>
    <w:rsid w:val="00491C09"/>
    <w:rsid w:val="00494B68"/>
    <w:rsid w:val="0049533B"/>
    <w:rsid w:val="004967B8"/>
    <w:rsid w:val="00496E8B"/>
    <w:rsid w:val="004B1105"/>
    <w:rsid w:val="004B4309"/>
    <w:rsid w:val="004B4D00"/>
    <w:rsid w:val="004C1E61"/>
    <w:rsid w:val="004C369B"/>
    <w:rsid w:val="004C4F32"/>
    <w:rsid w:val="004C5E31"/>
    <w:rsid w:val="004D1BA0"/>
    <w:rsid w:val="004D1D72"/>
    <w:rsid w:val="004D22A5"/>
    <w:rsid w:val="004D4392"/>
    <w:rsid w:val="004D5024"/>
    <w:rsid w:val="004D5448"/>
    <w:rsid w:val="004E2A7B"/>
    <w:rsid w:val="004F5B99"/>
    <w:rsid w:val="005044AA"/>
    <w:rsid w:val="00504FC6"/>
    <w:rsid w:val="00505A9A"/>
    <w:rsid w:val="00505EE6"/>
    <w:rsid w:val="005206EB"/>
    <w:rsid w:val="005225F4"/>
    <w:rsid w:val="00524AA0"/>
    <w:rsid w:val="00526D42"/>
    <w:rsid w:val="005308AA"/>
    <w:rsid w:val="005349A2"/>
    <w:rsid w:val="005350A8"/>
    <w:rsid w:val="00535692"/>
    <w:rsid w:val="005370D7"/>
    <w:rsid w:val="005471BE"/>
    <w:rsid w:val="00553599"/>
    <w:rsid w:val="005628AC"/>
    <w:rsid w:val="00566108"/>
    <w:rsid w:val="00566B22"/>
    <w:rsid w:val="00580A18"/>
    <w:rsid w:val="00586590"/>
    <w:rsid w:val="0058763B"/>
    <w:rsid w:val="00592392"/>
    <w:rsid w:val="00592F17"/>
    <w:rsid w:val="005A7BFF"/>
    <w:rsid w:val="005B1355"/>
    <w:rsid w:val="005B19C4"/>
    <w:rsid w:val="005B4214"/>
    <w:rsid w:val="005B5DA2"/>
    <w:rsid w:val="005B7A56"/>
    <w:rsid w:val="005C4ABB"/>
    <w:rsid w:val="005C5A14"/>
    <w:rsid w:val="005D1F94"/>
    <w:rsid w:val="005D598B"/>
    <w:rsid w:val="005D5C3D"/>
    <w:rsid w:val="005D5F86"/>
    <w:rsid w:val="005D7084"/>
    <w:rsid w:val="005D7553"/>
    <w:rsid w:val="005E0300"/>
    <w:rsid w:val="005E0896"/>
    <w:rsid w:val="005E4103"/>
    <w:rsid w:val="005E568B"/>
    <w:rsid w:val="005E587E"/>
    <w:rsid w:val="005E594B"/>
    <w:rsid w:val="005E5B35"/>
    <w:rsid w:val="005F6856"/>
    <w:rsid w:val="005F7A68"/>
    <w:rsid w:val="005F7E7E"/>
    <w:rsid w:val="00601295"/>
    <w:rsid w:val="006021EE"/>
    <w:rsid w:val="006033B5"/>
    <w:rsid w:val="0060404F"/>
    <w:rsid w:val="00604244"/>
    <w:rsid w:val="00612F7C"/>
    <w:rsid w:val="00614738"/>
    <w:rsid w:val="00616185"/>
    <w:rsid w:val="00623655"/>
    <w:rsid w:val="00623CD5"/>
    <w:rsid w:val="0062416D"/>
    <w:rsid w:val="00634C55"/>
    <w:rsid w:val="00634C73"/>
    <w:rsid w:val="006354DB"/>
    <w:rsid w:val="00640370"/>
    <w:rsid w:val="006451FC"/>
    <w:rsid w:val="006528A0"/>
    <w:rsid w:val="00652D0A"/>
    <w:rsid w:val="006609C5"/>
    <w:rsid w:val="006613B8"/>
    <w:rsid w:val="00664817"/>
    <w:rsid w:val="00664CA4"/>
    <w:rsid w:val="00665937"/>
    <w:rsid w:val="00665B05"/>
    <w:rsid w:val="00673FB9"/>
    <w:rsid w:val="006802AF"/>
    <w:rsid w:val="00691F3B"/>
    <w:rsid w:val="006921DC"/>
    <w:rsid w:val="00692D61"/>
    <w:rsid w:val="0069756A"/>
    <w:rsid w:val="006975BE"/>
    <w:rsid w:val="006A796A"/>
    <w:rsid w:val="006B14F6"/>
    <w:rsid w:val="006B2FB6"/>
    <w:rsid w:val="006B65C2"/>
    <w:rsid w:val="006C19CB"/>
    <w:rsid w:val="006C1C8C"/>
    <w:rsid w:val="006C25DD"/>
    <w:rsid w:val="006C7F82"/>
    <w:rsid w:val="006D1018"/>
    <w:rsid w:val="006D2614"/>
    <w:rsid w:val="006D2B95"/>
    <w:rsid w:val="006D5156"/>
    <w:rsid w:val="006E0335"/>
    <w:rsid w:val="006E3346"/>
    <w:rsid w:val="006E651E"/>
    <w:rsid w:val="006E7B9D"/>
    <w:rsid w:val="006F1C5F"/>
    <w:rsid w:val="006F4C41"/>
    <w:rsid w:val="007004CE"/>
    <w:rsid w:val="007013AD"/>
    <w:rsid w:val="00701EC1"/>
    <w:rsid w:val="00702587"/>
    <w:rsid w:val="00702E87"/>
    <w:rsid w:val="007062E3"/>
    <w:rsid w:val="007103E2"/>
    <w:rsid w:val="007111D1"/>
    <w:rsid w:val="00712475"/>
    <w:rsid w:val="007159C3"/>
    <w:rsid w:val="00715A5D"/>
    <w:rsid w:val="00716380"/>
    <w:rsid w:val="00721496"/>
    <w:rsid w:val="00722C5C"/>
    <w:rsid w:val="00722FDB"/>
    <w:rsid w:val="00726010"/>
    <w:rsid w:val="0073020B"/>
    <w:rsid w:val="0073248B"/>
    <w:rsid w:val="00737058"/>
    <w:rsid w:val="00737781"/>
    <w:rsid w:val="007409D0"/>
    <w:rsid w:val="00753E14"/>
    <w:rsid w:val="007552EB"/>
    <w:rsid w:val="00755E46"/>
    <w:rsid w:val="0075780F"/>
    <w:rsid w:val="00761C0B"/>
    <w:rsid w:val="00763660"/>
    <w:rsid w:val="007638D2"/>
    <w:rsid w:val="00763FBE"/>
    <w:rsid w:val="007868B0"/>
    <w:rsid w:val="00787397"/>
    <w:rsid w:val="00790C3E"/>
    <w:rsid w:val="00793CBA"/>
    <w:rsid w:val="00794AB3"/>
    <w:rsid w:val="00796407"/>
    <w:rsid w:val="007A5C13"/>
    <w:rsid w:val="007B0C14"/>
    <w:rsid w:val="007B60F8"/>
    <w:rsid w:val="007B7E51"/>
    <w:rsid w:val="007C21B0"/>
    <w:rsid w:val="007D284A"/>
    <w:rsid w:val="007D2FB7"/>
    <w:rsid w:val="007E0D1B"/>
    <w:rsid w:val="007E3680"/>
    <w:rsid w:val="007E410F"/>
    <w:rsid w:val="007F2383"/>
    <w:rsid w:val="007F2C0A"/>
    <w:rsid w:val="007F63E4"/>
    <w:rsid w:val="00800DA9"/>
    <w:rsid w:val="0080286D"/>
    <w:rsid w:val="00812953"/>
    <w:rsid w:val="0081350F"/>
    <w:rsid w:val="00816C1D"/>
    <w:rsid w:val="008170CC"/>
    <w:rsid w:val="00824D6B"/>
    <w:rsid w:val="00825AC4"/>
    <w:rsid w:val="00835537"/>
    <w:rsid w:val="0084152A"/>
    <w:rsid w:val="0085283A"/>
    <w:rsid w:val="008574E5"/>
    <w:rsid w:val="00860446"/>
    <w:rsid w:val="00861A57"/>
    <w:rsid w:val="00863580"/>
    <w:rsid w:val="00866FBC"/>
    <w:rsid w:val="00872584"/>
    <w:rsid w:val="008764D0"/>
    <w:rsid w:val="008917F7"/>
    <w:rsid w:val="0089218F"/>
    <w:rsid w:val="00895401"/>
    <w:rsid w:val="0089676F"/>
    <w:rsid w:val="00896F1C"/>
    <w:rsid w:val="008A186F"/>
    <w:rsid w:val="008B0898"/>
    <w:rsid w:val="008C0991"/>
    <w:rsid w:val="008C3916"/>
    <w:rsid w:val="008C5966"/>
    <w:rsid w:val="008C5D1B"/>
    <w:rsid w:val="008D0C34"/>
    <w:rsid w:val="008D1C55"/>
    <w:rsid w:val="008D2BAA"/>
    <w:rsid w:val="008E392E"/>
    <w:rsid w:val="008E6824"/>
    <w:rsid w:val="008E6E7D"/>
    <w:rsid w:val="008F2EB1"/>
    <w:rsid w:val="008F3C17"/>
    <w:rsid w:val="008F421B"/>
    <w:rsid w:val="008F496B"/>
    <w:rsid w:val="008F6F5F"/>
    <w:rsid w:val="008F7489"/>
    <w:rsid w:val="00900716"/>
    <w:rsid w:val="009065B6"/>
    <w:rsid w:val="0090666E"/>
    <w:rsid w:val="00910DB3"/>
    <w:rsid w:val="009245B7"/>
    <w:rsid w:val="00925157"/>
    <w:rsid w:val="0092561D"/>
    <w:rsid w:val="00926F7D"/>
    <w:rsid w:val="00927F08"/>
    <w:rsid w:val="00932D6D"/>
    <w:rsid w:val="009403F5"/>
    <w:rsid w:val="00940CF7"/>
    <w:rsid w:val="009423C7"/>
    <w:rsid w:val="00942A43"/>
    <w:rsid w:val="0094406D"/>
    <w:rsid w:val="009461D9"/>
    <w:rsid w:val="00950819"/>
    <w:rsid w:val="00956A4A"/>
    <w:rsid w:val="00961522"/>
    <w:rsid w:val="00966FC1"/>
    <w:rsid w:val="00972B1C"/>
    <w:rsid w:val="00974890"/>
    <w:rsid w:val="009816F8"/>
    <w:rsid w:val="0098394F"/>
    <w:rsid w:val="00986B12"/>
    <w:rsid w:val="00990276"/>
    <w:rsid w:val="00990FCF"/>
    <w:rsid w:val="009A2027"/>
    <w:rsid w:val="009B2DAE"/>
    <w:rsid w:val="009B56C3"/>
    <w:rsid w:val="009C46FB"/>
    <w:rsid w:val="009C6D26"/>
    <w:rsid w:val="009D1592"/>
    <w:rsid w:val="009D3B16"/>
    <w:rsid w:val="009D6051"/>
    <w:rsid w:val="009E59DE"/>
    <w:rsid w:val="009E5A81"/>
    <w:rsid w:val="009F294E"/>
    <w:rsid w:val="009F6B6D"/>
    <w:rsid w:val="009F6F72"/>
    <w:rsid w:val="00A05721"/>
    <w:rsid w:val="00A059E6"/>
    <w:rsid w:val="00A1083C"/>
    <w:rsid w:val="00A13577"/>
    <w:rsid w:val="00A156C0"/>
    <w:rsid w:val="00A16074"/>
    <w:rsid w:val="00A1647D"/>
    <w:rsid w:val="00A179C9"/>
    <w:rsid w:val="00A36C55"/>
    <w:rsid w:val="00A37636"/>
    <w:rsid w:val="00A43D59"/>
    <w:rsid w:val="00A46951"/>
    <w:rsid w:val="00A46BEF"/>
    <w:rsid w:val="00A46ECE"/>
    <w:rsid w:val="00A615A0"/>
    <w:rsid w:val="00A63686"/>
    <w:rsid w:val="00A6547D"/>
    <w:rsid w:val="00A65910"/>
    <w:rsid w:val="00A67AC1"/>
    <w:rsid w:val="00A71E8E"/>
    <w:rsid w:val="00A74198"/>
    <w:rsid w:val="00A74EE0"/>
    <w:rsid w:val="00A755BE"/>
    <w:rsid w:val="00A76583"/>
    <w:rsid w:val="00A81B0F"/>
    <w:rsid w:val="00A84AFE"/>
    <w:rsid w:val="00A87798"/>
    <w:rsid w:val="00A878DD"/>
    <w:rsid w:val="00AA00BF"/>
    <w:rsid w:val="00AA0B7F"/>
    <w:rsid w:val="00AA0E83"/>
    <w:rsid w:val="00AA20C3"/>
    <w:rsid w:val="00AA345D"/>
    <w:rsid w:val="00AA77CE"/>
    <w:rsid w:val="00AA79B2"/>
    <w:rsid w:val="00AB3BF9"/>
    <w:rsid w:val="00AB52A3"/>
    <w:rsid w:val="00AC3059"/>
    <w:rsid w:val="00AC4DDC"/>
    <w:rsid w:val="00AD1882"/>
    <w:rsid w:val="00AD2B43"/>
    <w:rsid w:val="00AD4782"/>
    <w:rsid w:val="00AD4DE7"/>
    <w:rsid w:val="00AD7E34"/>
    <w:rsid w:val="00AE13FB"/>
    <w:rsid w:val="00AE50C1"/>
    <w:rsid w:val="00AE56F2"/>
    <w:rsid w:val="00AF3042"/>
    <w:rsid w:val="00B0070A"/>
    <w:rsid w:val="00B01A7E"/>
    <w:rsid w:val="00B0277B"/>
    <w:rsid w:val="00B02C45"/>
    <w:rsid w:val="00B04A94"/>
    <w:rsid w:val="00B06DCD"/>
    <w:rsid w:val="00B07A0A"/>
    <w:rsid w:val="00B12691"/>
    <w:rsid w:val="00B13E2B"/>
    <w:rsid w:val="00B159B0"/>
    <w:rsid w:val="00B178DE"/>
    <w:rsid w:val="00B17DC2"/>
    <w:rsid w:val="00B21A86"/>
    <w:rsid w:val="00B24522"/>
    <w:rsid w:val="00B25724"/>
    <w:rsid w:val="00B27C59"/>
    <w:rsid w:val="00B315BE"/>
    <w:rsid w:val="00B328B3"/>
    <w:rsid w:val="00B333D9"/>
    <w:rsid w:val="00B34210"/>
    <w:rsid w:val="00B3528A"/>
    <w:rsid w:val="00B35DE3"/>
    <w:rsid w:val="00B451C3"/>
    <w:rsid w:val="00B50B64"/>
    <w:rsid w:val="00B53E03"/>
    <w:rsid w:val="00B55BCC"/>
    <w:rsid w:val="00B55DA4"/>
    <w:rsid w:val="00B560FB"/>
    <w:rsid w:val="00B60ABF"/>
    <w:rsid w:val="00B64E7A"/>
    <w:rsid w:val="00B763BB"/>
    <w:rsid w:val="00B82572"/>
    <w:rsid w:val="00B85552"/>
    <w:rsid w:val="00B91DFB"/>
    <w:rsid w:val="00B943D3"/>
    <w:rsid w:val="00BA17AB"/>
    <w:rsid w:val="00BA1CAD"/>
    <w:rsid w:val="00BA2334"/>
    <w:rsid w:val="00BA2E3E"/>
    <w:rsid w:val="00BB3908"/>
    <w:rsid w:val="00BC3BE8"/>
    <w:rsid w:val="00BC69C8"/>
    <w:rsid w:val="00BD329E"/>
    <w:rsid w:val="00BE2323"/>
    <w:rsid w:val="00BE439D"/>
    <w:rsid w:val="00BE66BE"/>
    <w:rsid w:val="00BE6F66"/>
    <w:rsid w:val="00BE7B03"/>
    <w:rsid w:val="00BF2E50"/>
    <w:rsid w:val="00BF6534"/>
    <w:rsid w:val="00C05296"/>
    <w:rsid w:val="00C113F0"/>
    <w:rsid w:val="00C17693"/>
    <w:rsid w:val="00C17F52"/>
    <w:rsid w:val="00C22537"/>
    <w:rsid w:val="00C24454"/>
    <w:rsid w:val="00C24E19"/>
    <w:rsid w:val="00C30E8A"/>
    <w:rsid w:val="00C334C4"/>
    <w:rsid w:val="00C3743B"/>
    <w:rsid w:val="00C40110"/>
    <w:rsid w:val="00C407C9"/>
    <w:rsid w:val="00C47253"/>
    <w:rsid w:val="00C51CC5"/>
    <w:rsid w:val="00C56599"/>
    <w:rsid w:val="00C57226"/>
    <w:rsid w:val="00C633EA"/>
    <w:rsid w:val="00C71CE0"/>
    <w:rsid w:val="00C727A1"/>
    <w:rsid w:val="00C73E55"/>
    <w:rsid w:val="00C76939"/>
    <w:rsid w:val="00C76EAF"/>
    <w:rsid w:val="00C774FF"/>
    <w:rsid w:val="00C80774"/>
    <w:rsid w:val="00C826CD"/>
    <w:rsid w:val="00C87289"/>
    <w:rsid w:val="00C9042F"/>
    <w:rsid w:val="00C9214E"/>
    <w:rsid w:val="00C928DD"/>
    <w:rsid w:val="00C935CC"/>
    <w:rsid w:val="00C9788E"/>
    <w:rsid w:val="00CA50DC"/>
    <w:rsid w:val="00CA6BAA"/>
    <w:rsid w:val="00CA7B37"/>
    <w:rsid w:val="00CA7B54"/>
    <w:rsid w:val="00CB4BDA"/>
    <w:rsid w:val="00CB4F2F"/>
    <w:rsid w:val="00CB7CD2"/>
    <w:rsid w:val="00CC0764"/>
    <w:rsid w:val="00CC0859"/>
    <w:rsid w:val="00CC159D"/>
    <w:rsid w:val="00CC28C6"/>
    <w:rsid w:val="00CC64CD"/>
    <w:rsid w:val="00CD03E2"/>
    <w:rsid w:val="00CD130F"/>
    <w:rsid w:val="00CD4867"/>
    <w:rsid w:val="00CD4FAB"/>
    <w:rsid w:val="00CD5644"/>
    <w:rsid w:val="00CE0E3D"/>
    <w:rsid w:val="00CE2E4B"/>
    <w:rsid w:val="00CE3082"/>
    <w:rsid w:val="00CE64EA"/>
    <w:rsid w:val="00CE741D"/>
    <w:rsid w:val="00CE75C2"/>
    <w:rsid w:val="00CF1F8B"/>
    <w:rsid w:val="00CF239E"/>
    <w:rsid w:val="00CF25FD"/>
    <w:rsid w:val="00D0069A"/>
    <w:rsid w:val="00D06191"/>
    <w:rsid w:val="00D0757A"/>
    <w:rsid w:val="00D13A23"/>
    <w:rsid w:val="00D14D38"/>
    <w:rsid w:val="00D16D0B"/>
    <w:rsid w:val="00D17D3B"/>
    <w:rsid w:val="00D24C68"/>
    <w:rsid w:val="00D2785A"/>
    <w:rsid w:val="00D34339"/>
    <w:rsid w:val="00D36139"/>
    <w:rsid w:val="00D37035"/>
    <w:rsid w:val="00D41543"/>
    <w:rsid w:val="00D42815"/>
    <w:rsid w:val="00D42C4D"/>
    <w:rsid w:val="00D43D93"/>
    <w:rsid w:val="00D44113"/>
    <w:rsid w:val="00D4623C"/>
    <w:rsid w:val="00D5443D"/>
    <w:rsid w:val="00D5713C"/>
    <w:rsid w:val="00D601C4"/>
    <w:rsid w:val="00D60D8D"/>
    <w:rsid w:val="00D61CC0"/>
    <w:rsid w:val="00D623F7"/>
    <w:rsid w:val="00D62950"/>
    <w:rsid w:val="00D63534"/>
    <w:rsid w:val="00D66838"/>
    <w:rsid w:val="00D70BFA"/>
    <w:rsid w:val="00D70C72"/>
    <w:rsid w:val="00D7364B"/>
    <w:rsid w:val="00D7418D"/>
    <w:rsid w:val="00D767F1"/>
    <w:rsid w:val="00D768BE"/>
    <w:rsid w:val="00D76AEF"/>
    <w:rsid w:val="00D83A7C"/>
    <w:rsid w:val="00D83ADB"/>
    <w:rsid w:val="00DA012E"/>
    <w:rsid w:val="00DA2255"/>
    <w:rsid w:val="00DB25AA"/>
    <w:rsid w:val="00DC0DA2"/>
    <w:rsid w:val="00DC166B"/>
    <w:rsid w:val="00DD6D6D"/>
    <w:rsid w:val="00DD76FF"/>
    <w:rsid w:val="00DE1E6C"/>
    <w:rsid w:val="00DF1AEA"/>
    <w:rsid w:val="00DF4B26"/>
    <w:rsid w:val="00E02452"/>
    <w:rsid w:val="00E0553A"/>
    <w:rsid w:val="00E05D0E"/>
    <w:rsid w:val="00E07157"/>
    <w:rsid w:val="00E11494"/>
    <w:rsid w:val="00E13E02"/>
    <w:rsid w:val="00E14610"/>
    <w:rsid w:val="00E20083"/>
    <w:rsid w:val="00E21AE9"/>
    <w:rsid w:val="00E2228B"/>
    <w:rsid w:val="00E2322A"/>
    <w:rsid w:val="00E24B81"/>
    <w:rsid w:val="00E259B9"/>
    <w:rsid w:val="00E27D89"/>
    <w:rsid w:val="00E310F7"/>
    <w:rsid w:val="00E36755"/>
    <w:rsid w:val="00E377CF"/>
    <w:rsid w:val="00E44C93"/>
    <w:rsid w:val="00E5407F"/>
    <w:rsid w:val="00E57287"/>
    <w:rsid w:val="00E57BB1"/>
    <w:rsid w:val="00E65513"/>
    <w:rsid w:val="00E70176"/>
    <w:rsid w:val="00E70AAC"/>
    <w:rsid w:val="00E723C9"/>
    <w:rsid w:val="00E75C0C"/>
    <w:rsid w:val="00E808FC"/>
    <w:rsid w:val="00E82588"/>
    <w:rsid w:val="00E852C0"/>
    <w:rsid w:val="00E90A8E"/>
    <w:rsid w:val="00E92BCB"/>
    <w:rsid w:val="00E92FC4"/>
    <w:rsid w:val="00E943F2"/>
    <w:rsid w:val="00E95CD4"/>
    <w:rsid w:val="00E95D08"/>
    <w:rsid w:val="00EA0108"/>
    <w:rsid w:val="00EA0976"/>
    <w:rsid w:val="00EA2EAF"/>
    <w:rsid w:val="00EA320E"/>
    <w:rsid w:val="00EA5487"/>
    <w:rsid w:val="00EA5649"/>
    <w:rsid w:val="00EA5DF6"/>
    <w:rsid w:val="00EB7048"/>
    <w:rsid w:val="00EC6C57"/>
    <w:rsid w:val="00ED377B"/>
    <w:rsid w:val="00ED4FFE"/>
    <w:rsid w:val="00ED609F"/>
    <w:rsid w:val="00ED6540"/>
    <w:rsid w:val="00ED7516"/>
    <w:rsid w:val="00EF032E"/>
    <w:rsid w:val="00EF0796"/>
    <w:rsid w:val="00EF49BA"/>
    <w:rsid w:val="00EF7D47"/>
    <w:rsid w:val="00F0021E"/>
    <w:rsid w:val="00F05823"/>
    <w:rsid w:val="00F1031E"/>
    <w:rsid w:val="00F109D4"/>
    <w:rsid w:val="00F13689"/>
    <w:rsid w:val="00F15766"/>
    <w:rsid w:val="00F15E9E"/>
    <w:rsid w:val="00F172DA"/>
    <w:rsid w:val="00F21E14"/>
    <w:rsid w:val="00F2214D"/>
    <w:rsid w:val="00F23864"/>
    <w:rsid w:val="00F25685"/>
    <w:rsid w:val="00F27C38"/>
    <w:rsid w:val="00F3043A"/>
    <w:rsid w:val="00F313DA"/>
    <w:rsid w:val="00F31704"/>
    <w:rsid w:val="00F351C2"/>
    <w:rsid w:val="00F363C4"/>
    <w:rsid w:val="00F4496B"/>
    <w:rsid w:val="00F453FA"/>
    <w:rsid w:val="00F47A43"/>
    <w:rsid w:val="00F52254"/>
    <w:rsid w:val="00F52BA9"/>
    <w:rsid w:val="00F53DF8"/>
    <w:rsid w:val="00F61A0C"/>
    <w:rsid w:val="00F65430"/>
    <w:rsid w:val="00F7066B"/>
    <w:rsid w:val="00F768F6"/>
    <w:rsid w:val="00F7748B"/>
    <w:rsid w:val="00F806C7"/>
    <w:rsid w:val="00F81AA8"/>
    <w:rsid w:val="00F81DC0"/>
    <w:rsid w:val="00F849C7"/>
    <w:rsid w:val="00F849D1"/>
    <w:rsid w:val="00F85B51"/>
    <w:rsid w:val="00F9285E"/>
    <w:rsid w:val="00F93E44"/>
    <w:rsid w:val="00F960FB"/>
    <w:rsid w:val="00F96983"/>
    <w:rsid w:val="00FA3C82"/>
    <w:rsid w:val="00FA7086"/>
    <w:rsid w:val="00FB0360"/>
    <w:rsid w:val="00FB7BF1"/>
    <w:rsid w:val="00FC2720"/>
    <w:rsid w:val="00FC29D7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条 1,二级节名,分枝标题,sect1.2.3,标题 3 Char1,Heading 3 - old,H3,标题 3 Char Char Char Char Char Char,Level 1 - 2,标题 3 Char Char,título 3,RN paragraph 1,Level 1 - 1,标题 3 Char Char Char Char Char Char Char Char Char,一,Chapter X.X.X.,h3,3rd level,3rd,1.1.1.标题 3,b"/>
    <w:basedOn w:val="a"/>
    <w:next w:val="a"/>
    <w:link w:val="3Char"/>
    <w:uiPriority w:val="9"/>
    <w:qFormat/>
    <w:locked/>
    <w:rsid w:val="00604244"/>
    <w:pPr>
      <w:keepNext/>
      <w:keepLines/>
      <w:spacing w:before="260" w:after="260" w:line="416" w:lineRule="auto"/>
      <w:jc w:val="both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  <w:style w:type="character" w:customStyle="1" w:styleId="3Char">
    <w:name w:val="标题 3 Char"/>
    <w:aliases w:val="条 1 Char,二级节名 Char,分枝标题 Char,sect1.2.3 Char,标题 3 Char1 Char,Heading 3 - old Char,H3 Char,标题 3 Char Char Char Char Char Char Char,Level 1 - 2 Char,标题 3 Char Char Char,título 3 Char,RN paragraph 1 Char,Level 1 - 1 Char,一 Char,Chapter X.X.X. Char"/>
    <w:basedOn w:val="a0"/>
    <w:link w:val="3"/>
    <w:uiPriority w:val="9"/>
    <w:rsid w:val="00604244"/>
    <w:rPr>
      <w:rFonts w:ascii="Times New Roman" w:hAnsi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条 1,二级节名,分枝标题,sect1.2.3,标题 3 Char1,Heading 3 - old,H3,标题 3 Char Char Char Char Char Char,Level 1 - 2,标题 3 Char Char,título 3,RN paragraph 1,Level 1 - 1,标题 3 Char Char Char Char Char Char Char Char Char,一,Chapter X.X.X.,h3,3rd level,3rd,1.1.1.标题 3,b"/>
    <w:basedOn w:val="a"/>
    <w:next w:val="a"/>
    <w:link w:val="3Char"/>
    <w:uiPriority w:val="9"/>
    <w:qFormat/>
    <w:locked/>
    <w:rsid w:val="00604244"/>
    <w:pPr>
      <w:keepNext/>
      <w:keepLines/>
      <w:spacing w:before="260" w:after="260" w:line="416" w:lineRule="auto"/>
      <w:jc w:val="both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  <w:style w:type="character" w:customStyle="1" w:styleId="3Char">
    <w:name w:val="标题 3 Char"/>
    <w:aliases w:val="条 1 Char,二级节名 Char,分枝标题 Char,sect1.2.3 Char,标题 3 Char1 Char,Heading 3 - old Char,H3 Char,标题 3 Char Char Char Char Char Char Char,Level 1 - 2 Char,标题 3 Char Char Char,título 3 Char,RN paragraph 1 Char,Level 1 - 1 Char,一 Char,Chapter X.X.X. Char"/>
    <w:basedOn w:val="a0"/>
    <w:link w:val="3"/>
    <w:uiPriority w:val="9"/>
    <w:rsid w:val="00604244"/>
    <w:rPr>
      <w:rFonts w:ascii="Times New Roman" w:hAnsi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A78917B-3915-456C-BD0E-3380E9680E41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88B21CD2-8AE0-4A5D-8DA6-986A8485C57E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243</Words>
  <Characters>1391</Characters>
  <Application>Microsoft Office Word</Application>
  <DocSecurity>0</DocSecurity>
  <Lines>11</Lines>
  <Paragraphs>3</Paragraphs>
  <ScaleCrop>false</ScaleCrop>
  <Company>微软中国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yuy</dc:creator>
  <cp:lastModifiedBy>余滢</cp:lastModifiedBy>
  <cp:revision>21</cp:revision>
  <cp:lastPrinted>2018-09-04T08:43:00Z</cp:lastPrinted>
  <dcterms:created xsi:type="dcterms:W3CDTF">2018-09-04T05:11:00Z</dcterms:created>
  <dcterms:modified xsi:type="dcterms:W3CDTF">2018-09-04T10:45:00Z</dcterms:modified>
</cp:coreProperties>
</file>