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700ECC" w:rsidRDefault="00EE1C10" w:rsidP="00CE65F3">
      <w:pPr>
        <w:spacing w:beforeLines="50" w:before="156" w:afterLines="50" w:after="156"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700ECC">
        <w:rPr>
          <w:rFonts w:ascii="Arial" w:eastAsia="华文细黑" w:hAnsi="Arial" w:hint="eastAsia"/>
          <w:bCs/>
          <w:iCs/>
          <w:color w:val="000000"/>
          <w:szCs w:val="21"/>
        </w:rPr>
        <w:t>证券代码：</w:t>
      </w:r>
      <w:r w:rsidRPr="00700ECC">
        <w:rPr>
          <w:rFonts w:ascii="Arial" w:eastAsia="华文细黑" w:hAnsi="Arial" w:hint="eastAsia"/>
          <w:bCs/>
          <w:iCs/>
          <w:color w:val="000000"/>
          <w:szCs w:val="21"/>
        </w:rPr>
        <w:t xml:space="preserve">000001                                  </w:t>
      </w:r>
      <w:r w:rsidRPr="00700ECC">
        <w:rPr>
          <w:rFonts w:ascii="Arial" w:eastAsia="华文细黑" w:hAnsi="Arial" w:hint="eastAsia"/>
          <w:bCs/>
          <w:iCs/>
          <w:color w:val="000000"/>
          <w:szCs w:val="21"/>
        </w:rPr>
        <w:t>证券简称：</w:t>
      </w:r>
      <w:r w:rsidR="00D96584" w:rsidRPr="00700ECC">
        <w:rPr>
          <w:rFonts w:ascii="Arial" w:eastAsia="华文细黑" w:hAnsi="Arial" w:hint="eastAsia"/>
          <w:bCs/>
          <w:iCs/>
          <w:color w:val="000000"/>
          <w:szCs w:val="21"/>
        </w:rPr>
        <w:t>平安银行</w:t>
      </w:r>
    </w:p>
    <w:p w:rsidR="00EE1C10" w:rsidRPr="00700ECC" w:rsidRDefault="003317E5" w:rsidP="00CE65F3">
      <w:pPr>
        <w:spacing w:beforeLines="50" w:before="156" w:afterLines="50" w:after="156" w:line="400" w:lineRule="exact"/>
        <w:jc w:val="center"/>
        <w:rPr>
          <w:rFonts w:ascii="Arial" w:eastAsia="华文细黑" w:hAnsi="Arial"/>
          <w:b/>
          <w:bCs/>
          <w:iCs/>
          <w:color w:val="000000"/>
          <w:sz w:val="24"/>
          <w:szCs w:val="21"/>
        </w:rPr>
      </w:pPr>
      <w:r w:rsidRPr="00700ECC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700ECC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700ECC" w:rsidRDefault="00EE1C10" w:rsidP="00EE1C10">
      <w:pPr>
        <w:spacing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700ECC">
        <w:rPr>
          <w:rFonts w:ascii="Arial" w:eastAsia="华文细黑" w:hAnsi="Arial" w:hint="eastAsia"/>
          <w:bCs/>
          <w:iCs/>
          <w:color w:val="000000"/>
          <w:szCs w:val="21"/>
        </w:rPr>
        <w:t xml:space="preserve">                                                         </w:t>
      </w:r>
      <w:r w:rsidRPr="00700ECC">
        <w:rPr>
          <w:rFonts w:ascii="Arial" w:eastAsia="华文细黑" w:hAnsi="Arial" w:hint="eastAsia"/>
          <w:bCs/>
          <w:iCs/>
          <w:color w:val="000000"/>
          <w:szCs w:val="21"/>
        </w:rPr>
        <w:t>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700ECC" w:rsidTr="007C4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EE1C10" w:rsidP="00700EC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FF0263" w:rsidP="00700EC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特定对象调研</w:t>
            </w:r>
            <w:r w:rsidR="00EE1C10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 xml:space="preserve">        </w:t>
            </w:r>
            <w:r w:rsidR="00EE1C10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□分析师会议</w:t>
            </w:r>
          </w:p>
          <w:p w:rsidR="00EE1C10" w:rsidRPr="00700ECC" w:rsidRDefault="00EE1C10" w:rsidP="00700EC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□媒体采访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 xml:space="preserve">            </w:t>
            </w:r>
            <w:r w:rsidR="00FF0263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业绩说明会</w:t>
            </w:r>
          </w:p>
          <w:p w:rsidR="00EE1C10" w:rsidRPr="00700ECC" w:rsidRDefault="00EE1C10" w:rsidP="00700EC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□新闻发布会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 xml:space="preserve">          </w:t>
            </w:r>
            <w:r w:rsidR="00D87038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路演活动</w:t>
            </w:r>
          </w:p>
          <w:p w:rsidR="00EE1C10" w:rsidRPr="00700ECC" w:rsidRDefault="00EE1C10" w:rsidP="00700ECC">
            <w:pPr>
              <w:tabs>
                <w:tab w:val="left" w:pos="3045"/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□现场参观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ab/>
            </w:r>
          </w:p>
          <w:p w:rsidR="00EE1C10" w:rsidRPr="00700ECC" w:rsidRDefault="00217D1A" w:rsidP="00700EC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其他</w:t>
            </w:r>
          </w:p>
        </w:tc>
      </w:tr>
      <w:tr w:rsidR="00EE1C10" w:rsidRPr="00700ECC" w:rsidTr="00700ECC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EE1C10" w:rsidP="00700EC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700ECC" w:rsidP="00700EC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  <w:t>Capital International</w:t>
            </w:r>
          </w:p>
        </w:tc>
      </w:tr>
      <w:tr w:rsidR="00EE1C10" w:rsidRPr="00700ECC" w:rsidTr="00700ECC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EE1C10" w:rsidP="00700EC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43629D" w:rsidP="00700EC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B53B76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30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700ECC" w:rsidTr="00700ECC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EE1C10" w:rsidP="00700EC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FE093E" w:rsidP="00700EC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700ECC" w:rsidTr="00700ECC">
        <w:trPr>
          <w:trHeight w:val="4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EE1C10" w:rsidP="00700EC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B80B6E" w:rsidP="00700EC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我行高管、</w:t>
            </w:r>
            <w:r w:rsidR="007A446E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700ECC" w:rsidTr="007C4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EE1C10" w:rsidP="007C4E4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700ECC" w:rsidRDefault="00EE1C10" w:rsidP="007C4E4A">
            <w:pPr>
              <w:spacing w:line="480" w:lineRule="atLeas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EE1C10" w:rsidP="00700EC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3D1272" w:rsidRPr="00700ECC" w:rsidRDefault="003D1272" w:rsidP="00700EC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0759EC" w:rsidRPr="00700ECC" w:rsidRDefault="000759EC" w:rsidP="007C4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/>
                <w:sz w:val="21"/>
                <w:szCs w:val="21"/>
              </w:rPr>
              <w:t>平安银行</w:t>
            </w:r>
            <w:bookmarkStart w:id="0" w:name="_GoBack"/>
            <w:bookmarkEnd w:id="0"/>
            <w:r w:rsidRPr="00700ECC">
              <w:rPr>
                <w:rFonts w:ascii="Arial" w:eastAsia="华文细黑" w:hAnsi="Arial" w:hint="eastAsia"/>
                <w:b/>
                <w:sz w:val="21"/>
                <w:szCs w:val="21"/>
              </w:rPr>
              <w:t>的战略转型？</w:t>
            </w:r>
          </w:p>
          <w:p w:rsidR="000759EC" w:rsidRPr="00700ECC" w:rsidRDefault="007C4E4A" w:rsidP="007C4E4A">
            <w:pPr>
              <w:adjustRightInd w:val="0"/>
              <w:snapToGrid w:val="0"/>
              <w:ind w:firstLineChars="200" w:firstLine="400"/>
              <w:rPr>
                <w:rFonts w:ascii="Arial" w:eastAsia="华文细黑" w:hAnsi="Arial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szCs w:val="21"/>
              </w:rPr>
              <w:t>本行坚持“科技引领、零售突破、对公做精”十二字转型方针，持续加强科技创新和技术运用，持续推进智能化零售银行转型，持续推动公司业务转型，各项业务稳健发展，资产质量稳中趋好，战略转型成效进一步显现</w:t>
            </w:r>
            <w:r w:rsidRPr="00700ECC">
              <w:rPr>
                <w:rFonts w:ascii="Arial" w:eastAsia="华文细黑" w:hAnsi="Arial" w:cs="Arial Unicode MS" w:hint="eastAsia"/>
                <w:kern w:val="2"/>
                <w:sz w:val="21"/>
                <w:szCs w:val="21"/>
              </w:rPr>
              <w:t>。</w:t>
            </w:r>
          </w:p>
          <w:p w:rsidR="000759EC" w:rsidRPr="00700ECC" w:rsidRDefault="000759EC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3D1272" w:rsidRPr="00700ECC" w:rsidRDefault="003D1272" w:rsidP="007C4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/>
                <w:sz w:val="21"/>
                <w:szCs w:val="21"/>
              </w:rPr>
              <w:t>零售利润贡献占比目标</w:t>
            </w:r>
          </w:p>
          <w:p w:rsidR="003D1272" w:rsidRPr="00700ECC" w:rsidRDefault="00CF5B55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零售业务增长很快，对利润贡献大</w:t>
            </w:r>
            <w:r w:rsidR="003D1272" w:rsidRPr="00700ECC">
              <w:rPr>
                <w:rFonts w:ascii="Arial" w:eastAsia="华文细黑" w:hAnsi="Arial" w:hint="eastAsia"/>
                <w:sz w:val="21"/>
                <w:szCs w:val="21"/>
              </w:rPr>
              <w:t>。我行零售其实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有很多业务都有传统优势</w:t>
            </w:r>
            <w:r w:rsidR="003D1272" w:rsidRPr="00700ECC">
              <w:rPr>
                <w:rFonts w:ascii="Arial" w:eastAsia="华文细黑" w:hAnsi="Arial" w:hint="eastAsia"/>
                <w:sz w:val="21"/>
                <w:szCs w:val="21"/>
              </w:rPr>
              <w:t>：</w:t>
            </w:r>
          </w:p>
          <w:p w:rsidR="003D1272" w:rsidRPr="00700ECC" w:rsidRDefault="003D1272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="00CF5B55" w:rsidRPr="00700ECC">
              <w:rPr>
                <w:rFonts w:ascii="Arial" w:eastAsia="华文细黑" w:hAnsi="Arial" w:hint="eastAsia"/>
                <w:sz w:val="21"/>
                <w:szCs w:val="21"/>
              </w:rPr>
              <w:t>无担保信用贷款：积累近十年数据，累计经验；</w:t>
            </w:r>
          </w:p>
          <w:p w:rsidR="003D1272" w:rsidRPr="00700ECC" w:rsidRDefault="003D1272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2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）汽融：市场占有率领先，目前余额</w:t>
            </w:r>
            <w:r w:rsidR="00CF5B55" w:rsidRPr="00700ECC">
              <w:rPr>
                <w:rFonts w:ascii="Arial" w:eastAsia="华文细黑" w:hAnsi="Arial" w:hint="eastAsia"/>
                <w:sz w:val="21"/>
                <w:szCs w:val="21"/>
              </w:rPr>
              <w:t>近千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亿左右，十年来不良保持较低；</w:t>
            </w:r>
          </w:p>
          <w:p w:rsidR="003D1272" w:rsidRPr="00700ECC" w:rsidRDefault="003D1272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）信用卡：盈利</w:t>
            </w:r>
            <w:r w:rsidR="00CF5B55" w:rsidRPr="00700ECC">
              <w:rPr>
                <w:rFonts w:ascii="Arial" w:eastAsia="华文细黑" w:hAnsi="Arial" w:hint="eastAsia"/>
                <w:sz w:val="21"/>
                <w:szCs w:val="21"/>
              </w:rPr>
              <w:t>不断加强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，活卡</w:t>
            </w:r>
            <w:r w:rsidR="00700ECC">
              <w:rPr>
                <w:rFonts w:ascii="Arial" w:eastAsia="华文细黑" w:hAnsi="Arial" w:hint="eastAsia"/>
                <w:sz w:val="21"/>
                <w:szCs w:val="21"/>
              </w:rPr>
              <w:t>4576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万张。</w:t>
            </w:r>
          </w:p>
          <w:p w:rsidR="003D1272" w:rsidRPr="00700ECC" w:rsidRDefault="003D1272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</w:p>
          <w:p w:rsidR="002507F2" w:rsidRPr="00700ECC" w:rsidRDefault="002507F2" w:rsidP="007C4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/>
                <w:sz w:val="21"/>
                <w:szCs w:val="21"/>
              </w:rPr>
              <w:t>未来对公怎么发展</w:t>
            </w:r>
          </w:p>
          <w:p w:rsidR="002507F2" w:rsidRPr="00700ECC" w:rsidRDefault="0070116A" w:rsidP="0070116A">
            <w:pPr>
              <w:adjustRightInd w:val="0"/>
              <w:snapToGrid w:val="0"/>
              <w:ind w:firstLineChars="200" w:firstLine="400"/>
              <w:rPr>
                <w:rFonts w:ascii="Arial" w:eastAsia="华文细黑" w:hAnsi="Arial"/>
                <w:bCs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szCs w:val="21"/>
              </w:rPr>
              <w:t>业务向轻型模式转型：资产负债规模保持平稳，重点推动结构调整，负债业务从授信派生转向主动负债及“平台</w:t>
            </w:r>
            <w:r w:rsidRPr="00700ECC">
              <w:rPr>
                <w:rFonts w:ascii="Arial" w:eastAsia="华文细黑" w:hAnsi="Arial" w:hint="eastAsia"/>
                <w:bCs/>
                <w:szCs w:val="21"/>
              </w:rPr>
              <w:t>+</w:t>
            </w:r>
            <w:r w:rsidRPr="00700ECC">
              <w:rPr>
                <w:rFonts w:ascii="Arial" w:eastAsia="华文细黑" w:hAnsi="Arial" w:hint="eastAsia"/>
                <w:bCs/>
                <w:szCs w:val="21"/>
              </w:rPr>
              <w:t>产品</w:t>
            </w:r>
            <w:r w:rsidRPr="00700ECC">
              <w:rPr>
                <w:rFonts w:ascii="Arial" w:eastAsia="华文细黑" w:hAnsi="Arial" w:hint="eastAsia"/>
                <w:bCs/>
                <w:szCs w:val="21"/>
              </w:rPr>
              <w:t>+</w:t>
            </w:r>
            <w:r w:rsidRPr="00700ECC">
              <w:rPr>
                <w:rFonts w:ascii="Arial" w:eastAsia="华文细黑" w:hAnsi="Arial" w:hint="eastAsia"/>
                <w:bCs/>
                <w:szCs w:val="21"/>
              </w:rPr>
              <w:t>服务”结算留存，资产业务加速存量资产的盘活和增量资产的分流，通过资产出表加快资产转速，为公司获客、负债增长找到新动能。</w:t>
            </w:r>
          </w:p>
          <w:p w:rsidR="0070116A" w:rsidRPr="00700ECC" w:rsidRDefault="0070116A" w:rsidP="0070116A">
            <w:pPr>
              <w:adjustRightInd w:val="0"/>
              <w:snapToGrid w:val="0"/>
              <w:ind w:firstLineChars="200" w:firstLine="400"/>
              <w:rPr>
                <w:rFonts w:ascii="Arial" w:eastAsia="华文细黑" w:hAnsi="Arial"/>
                <w:bCs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szCs w:val="21"/>
              </w:rPr>
              <w:t>团队向行业化、专业化转型；</w:t>
            </w:r>
          </w:p>
          <w:p w:rsidR="0070116A" w:rsidRPr="00700ECC" w:rsidRDefault="0070116A" w:rsidP="0070116A">
            <w:pPr>
              <w:adjustRightInd w:val="0"/>
              <w:snapToGrid w:val="0"/>
              <w:ind w:firstLineChars="200" w:firstLine="400"/>
              <w:rPr>
                <w:rFonts w:ascii="Arial" w:eastAsia="华文细黑" w:hAnsi="Arial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szCs w:val="21"/>
              </w:rPr>
              <w:t>销售模式从单兵作战向团体作战转型。</w:t>
            </w:r>
          </w:p>
          <w:p w:rsidR="003D1272" w:rsidRPr="00700ECC" w:rsidRDefault="003D1272" w:rsidP="007C4E4A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0759EC" w:rsidRPr="00700ECC" w:rsidRDefault="000759EC" w:rsidP="007C4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/>
                <w:sz w:val="21"/>
                <w:szCs w:val="21"/>
              </w:rPr>
              <w:t>针对资产质量问题，有什么计划和措施？</w:t>
            </w:r>
          </w:p>
          <w:p w:rsidR="007C4E4A" w:rsidRPr="00700ECC" w:rsidRDefault="007C4E4A" w:rsidP="007C4E4A">
            <w:pPr>
              <w:adjustRightInd w:val="0"/>
              <w:snapToGrid w:val="0"/>
              <w:ind w:firstLineChars="200" w:firstLine="400"/>
              <w:rPr>
                <w:rFonts w:ascii="Arial" w:eastAsia="华文细黑" w:hAnsi="Arial"/>
              </w:rPr>
            </w:pPr>
            <w:r w:rsidRPr="00700ECC">
              <w:rPr>
                <w:rFonts w:ascii="Arial" w:eastAsia="华文细黑" w:hAnsi="Arial" w:hint="eastAsia"/>
                <w:szCs w:val="21"/>
              </w:rPr>
              <w:t>本行积极应对外部风险、调整业务结构，将贷款投放到资产质量更好的零售业务，对公持续做精，同时，严格管控增量业务风险，对存量贷款进行全面排查、有序化解。</w:t>
            </w:r>
          </w:p>
          <w:p w:rsidR="00B53B76" w:rsidRPr="00700ECC" w:rsidRDefault="00B53B76" w:rsidP="007C4E4A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/>
                <w:sz w:val="21"/>
                <w:szCs w:val="21"/>
                <w:lang w:val="en-US" w:eastAsia="zh-CN"/>
              </w:rPr>
            </w:pPr>
          </w:p>
          <w:p w:rsidR="00B53B76" w:rsidRPr="00700ECC" w:rsidRDefault="00B53B76" w:rsidP="007C4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700ECC">
              <w:rPr>
                <w:rFonts w:ascii="Arial" w:eastAsia="华文细黑" w:hAnsi="Arial"/>
                <w:b/>
                <w:sz w:val="21"/>
                <w:szCs w:val="21"/>
              </w:rPr>
              <w:t>不良贷款增长原因分析及未来趋势？</w:t>
            </w:r>
            <w:r w:rsidRPr="00700ECC">
              <w:rPr>
                <w:rFonts w:ascii="Arial" w:eastAsia="华文细黑" w:hAnsi="Arial"/>
                <w:b/>
                <w:sz w:val="21"/>
                <w:szCs w:val="21"/>
              </w:rPr>
              <w:t xml:space="preserve"> </w:t>
            </w:r>
          </w:p>
          <w:p w:rsidR="00B53B76" w:rsidRPr="00700ECC" w:rsidRDefault="00700ECC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21A8C">
              <w:rPr>
                <w:rFonts w:ascii="Arial" w:eastAsia="华文细黑" w:hAnsi="Arial" w:hint="eastAsia"/>
                <w:sz w:val="21"/>
                <w:szCs w:val="21"/>
              </w:rPr>
              <w:t>截至报告期末</w:t>
            </w:r>
            <w:r w:rsidRPr="00C21A8C">
              <w:rPr>
                <w:rFonts w:ascii="Arial" w:eastAsia="华文细黑" w:hAnsi="Arial" w:hint="eastAsia"/>
                <w:bCs/>
                <w:color w:val="000000" w:themeColor="text1"/>
                <w:kern w:val="2"/>
                <w:sz w:val="21"/>
                <w:szCs w:val="21"/>
              </w:rPr>
              <w:t>，</w:t>
            </w:r>
            <w:r w:rsidRPr="00C21A8C">
              <w:rPr>
                <w:rFonts w:ascii="Arial" w:eastAsia="华文细黑" w:hAnsi="Arial" w:hint="eastAsia"/>
                <w:sz w:val="21"/>
                <w:szCs w:val="21"/>
              </w:rPr>
              <w:t>不良贷款率为</w:t>
            </w:r>
            <w:r w:rsidRPr="00C21A8C">
              <w:rPr>
                <w:rFonts w:ascii="Arial" w:eastAsia="华文细黑" w:hAnsi="Arial"/>
                <w:sz w:val="21"/>
                <w:szCs w:val="21"/>
              </w:rPr>
              <w:t>1.68%</w:t>
            </w:r>
            <w:r w:rsidRPr="00C21A8C">
              <w:rPr>
                <w:rFonts w:ascii="Arial" w:eastAsia="华文细黑" w:hAnsi="Arial" w:hint="eastAsia"/>
                <w:sz w:val="21"/>
                <w:szCs w:val="21"/>
              </w:rPr>
              <w:t>，较上年末下降</w:t>
            </w:r>
            <w:r w:rsidRPr="00C21A8C">
              <w:rPr>
                <w:rFonts w:ascii="Arial" w:eastAsia="华文细黑" w:hAnsi="Arial"/>
                <w:sz w:val="21"/>
                <w:szCs w:val="21"/>
              </w:rPr>
              <w:t>0.02</w:t>
            </w:r>
            <w:r w:rsidRPr="00C21A8C">
              <w:rPr>
                <w:rFonts w:ascii="Arial" w:eastAsia="华文细黑" w:hAnsi="Arial" w:hint="eastAsia"/>
                <w:sz w:val="21"/>
                <w:szCs w:val="21"/>
              </w:rPr>
              <w:t>个百分点</w:t>
            </w:r>
            <w:r w:rsidRPr="00C21A8C">
              <w:rPr>
                <w:rFonts w:ascii="Arial" w:eastAsia="华文细黑" w:hAnsi="Arial" w:hint="eastAsia"/>
                <w:bCs/>
                <w:color w:val="000000" w:themeColor="text1"/>
                <w:kern w:val="2"/>
                <w:sz w:val="21"/>
                <w:szCs w:val="21"/>
              </w:rPr>
              <w:t>，</w:t>
            </w:r>
            <w:r w:rsidRPr="00C21A8C">
              <w:rPr>
                <w:rFonts w:ascii="Arial" w:eastAsia="华文细黑" w:hAnsi="Arial" w:hint="eastAsia"/>
                <w:sz w:val="21"/>
                <w:szCs w:val="21"/>
              </w:rPr>
              <w:t>不良贷款主要集中在制造业和零售经营性贷款。此外，中报拨贷比为</w:t>
            </w:r>
            <w:r w:rsidRPr="00C21A8C">
              <w:rPr>
                <w:rFonts w:ascii="Arial" w:eastAsia="华文细黑" w:hAnsi="Arial"/>
                <w:sz w:val="21"/>
                <w:szCs w:val="21"/>
              </w:rPr>
              <w:t>2.9</w:t>
            </w:r>
            <w:r w:rsidRPr="00C21A8C">
              <w:rPr>
                <w:rFonts w:ascii="Arial" w:eastAsia="华文细黑" w:hAnsi="Arial" w:hint="eastAsia"/>
                <w:sz w:val="21"/>
                <w:szCs w:val="21"/>
              </w:rPr>
              <w:t xml:space="preserve">5 </w:t>
            </w:r>
            <w:r w:rsidRPr="00C21A8C">
              <w:rPr>
                <w:rFonts w:ascii="Arial" w:eastAsia="华文细黑" w:hAnsi="Arial"/>
                <w:sz w:val="21"/>
                <w:szCs w:val="21"/>
              </w:rPr>
              <w:t>%</w:t>
            </w:r>
            <w:r w:rsidRPr="00C21A8C">
              <w:rPr>
                <w:rFonts w:ascii="Arial" w:eastAsia="华文细黑" w:hAnsi="Arial" w:hint="eastAsia"/>
                <w:sz w:val="21"/>
                <w:szCs w:val="21"/>
              </w:rPr>
              <w:t>；拨备覆盖率为</w:t>
            </w:r>
            <w:r w:rsidRPr="00C21A8C">
              <w:rPr>
                <w:rFonts w:ascii="Arial" w:eastAsia="华文细黑" w:hAnsi="Arial"/>
                <w:sz w:val="21"/>
                <w:szCs w:val="21"/>
              </w:rPr>
              <w:t>17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C21A8C">
              <w:rPr>
                <w:rFonts w:ascii="Arial" w:eastAsia="华文细黑" w:hAnsi="Arial"/>
                <w:sz w:val="21"/>
                <w:szCs w:val="21"/>
              </w:rPr>
              <w:t xml:space="preserve"> %</w:t>
            </w:r>
            <w:r w:rsidRPr="00C21A8C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FD6551" w:rsidRPr="00700ECC" w:rsidRDefault="00FD6551" w:rsidP="007C4E4A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7C4E4A" w:rsidRPr="00700ECC" w:rsidRDefault="007C4E4A" w:rsidP="007C4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/>
                <w:sz w:val="21"/>
                <w:szCs w:val="21"/>
              </w:rPr>
              <w:t>行业的系统性风险，如何规避</w:t>
            </w:r>
          </w:p>
          <w:p w:rsidR="007C4E4A" w:rsidRPr="00700ECC" w:rsidRDefault="007C4E4A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）经济环境：判断经济是否好转，也是要看行业的。积极跟上经济变化，及时进入朝阳行业。</w:t>
            </w:r>
          </w:p>
          <w:p w:rsidR="007C4E4A" w:rsidRPr="00700ECC" w:rsidRDefault="007C4E4A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2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）技术挑战：金融科技和跨界挑战。优势有集团，目前的零售行长是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IT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背景，对技术的投入和理解很深，关注用户体验。</w:t>
            </w:r>
          </w:p>
          <w:p w:rsidR="007C4E4A" w:rsidRPr="00700ECC" w:rsidRDefault="007C4E4A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）数据挑战：未来放贷要依靠数据，充分利用互联网平台和场景结合，抢占先机。</w:t>
            </w:r>
          </w:p>
          <w:p w:rsidR="00B53B76" w:rsidRPr="00700ECC" w:rsidRDefault="00B53B76" w:rsidP="007C4E4A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0759EC" w:rsidRPr="00700ECC" w:rsidRDefault="000759EC" w:rsidP="007C4E4A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ind w:firstLineChars="0"/>
              <w:rPr>
                <w:rFonts w:ascii="Arial" w:eastAsia="华文细黑" w:hAnsi="Arial"/>
                <w:b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/>
                <w:sz w:val="21"/>
                <w:szCs w:val="21"/>
              </w:rPr>
              <w:t>对资本充足率的规划？是否纳入系统重要性银行</w:t>
            </w:r>
            <w:r w:rsidRPr="00700ECC">
              <w:rPr>
                <w:rFonts w:ascii="Arial" w:eastAsia="华文细黑" w:hAnsi="Arial" w:hint="eastAsia"/>
                <w:b/>
                <w:sz w:val="21"/>
                <w:szCs w:val="21"/>
              </w:rPr>
              <w:t>?</w:t>
            </w:r>
          </w:p>
          <w:p w:rsidR="000759EC" w:rsidRPr="00700ECC" w:rsidRDefault="007C4E4A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26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日，本行收到《中国银监会关于平安银行公开发行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 xml:space="preserve"> A 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股可转换公司债券相关事宜的批复》（银监复【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】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 xml:space="preserve">71 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号）。中国银监会同意本行公开发行不超过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260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亿元人民币的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A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股可转换公司债券，在转股后按照相关监管要求计入本行核心一级资本。本次发行尚须经</w:t>
            </w:r>
            <w:r w:rsidRPr="00700ECC">
              <w:rPr>
                <w:rFonts w:ascii="Arial" w:eastAsia="华文细黑" w:hAnsi="Arial" w:hint="eastAsia"/>
                <w:szCs w:val="21"/>
                <w:lang w:val="en-GB"/>
              </w:rPr>
              <w:t>中国证监会核准后方可实施，并最终以前述监管机构核准的方案为准</w:t>
            </w: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217D1A" w:rsidRPr="00700ECC" w:rsidRDefault="00217D1A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 w:cs="宋体"/>
                <w:sz w:val="21"/>
                <w:szCs w:val="21"/>
                <w:lang w:eastAsia="zh-TW"/>
              </w:rPr>
            </w:pPr>
          </w:p>
          <w:p w:rsidR="00EE1C10" w:rsidRPr="00700ECC" w:rsidRDefault="00A140B8" w:rsidP="007C4E4A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700ECC" w:rsidTr="007C4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EE1C10" w:rsidP="00700EC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217D1A" w:rsidP="00700ECC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7C4E4A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中报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业绩</w:t>
            </w:r>
            <w:r w:rsidR="00D87038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PPT</w:t>
            </w:r>
            <w:r w:rsidR="00D87038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（请参见</w:t>
            </w:r>
            <w:r w:rsidR="00D87038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bank.pingan.com</w:t>
            </w:r>
            <w:r w:rsidR="00D87038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</w:t>
            </w:r>
            <w:r w:rsidR="00D87038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-</w:t>
            </w:r>
            <w:r w:rsidR="00D87038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公司推介栏目）</w:t>
            </w:r>
          </w:p>
        </w:tc>
      </w:tr>
      <w:tr w:rsidR="00EE1C10" w:rsidRPr="00700ECC" w:rsidTr="00700ECC">
        <w:trPr>
          <w:trHeight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EE1C10" w:rsidP="00700EC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700ECC" w:rsidRDefault="00761259" w:rsidP="00700EC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A54A64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6B3621"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0</w:t>
            </w:r>
            <w:r w:rsid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700ECC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30</w:t>
            </w:r>
          </w:p>
        </w:tc>
      </w:tr>
    </w:tbl>
    <w:p w:rsidR="00941F1C" w:rsidRPr="00700ECC" w:rsidRDefault="00941F1C" w:rsidP="00862CF2">
      <w:pPr>
        <w:rPr>
          <w:rFonts w:ascii="Arial" w:eastAsia="华文细黑" w:hAnsi="Arial"/>
          <w:szCs w:val="21"/>
        </w:rPr>
      </w:pPr>
    </w:p>
    <w:sectPr w:rsidR="00941F1C" w:rsidRPr="00700ECC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BE" w:rsidRDefault="001243BE" w:rsidP="00D96584">
      <w:r>
        <w:separator/>
      </w:r>
    </w:p>
  </w:endnote>
  <w:endnote w:type="continuationSeparator" w:id="0">
    <w:p w:rsidR="001243BE" w:rsidRDefault="001243BE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BE" w:rsidRDefault="001243BE" w:rsidP="00D96584">
      <w:r>
        <w:separator/>
      </w:r>
    </w:p>
  </w:footnote>
  <w:footnote w:type="continuationSeparator" w:id="0">
    <w:p w:rsidR="001243BE" w:rsidRDefault="001243BE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57A4"/>
    <w:multiLevelType w:val="hybridMultilevel"/>
    <w:tmpl w:val="1BB09DFC"/>
    <w:lvl w:ilvl="0" w:tplc="A3E4D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B3207F8"/>
    <w:multiLevelType w:val="hybridMultilevel"/>
    <w:tmpl w:val="534C172C"/>
    <w:lvl w:ilvl="0" w:tplc="584856B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1E3055A1"/>
    <w:multiLevelType w:val="hybridMultilevel"/>
    <w:tmpl w:val="9314D888"/>
    <w:lvl w:ilvl="0" w:tplc="4DFC0E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DBE0DC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EA4CFF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ABC538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50DB7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11CD4A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842DD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33CAA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E86005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E6300A8"/>
    <w:multiLevelType w:val="hybridMultilevel"/>
    <w:tmpl w:val="18DE4E96"/>
    <w:lvl w:ilvl="0" w:tplc="2368D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1F05AE"/>
    <w:multiLevelType w:val="hybridMultilevel"/>
    <w:tmpl w:val="B6BE1424"/>
    <w:lvl w:ilvl="0" w:tplc="BA782F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8AC1786"/>
    <w:multiLevelType w:val="hybridMultilevel"/>
    <w:tmpl w:val="29CCDE1C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2EBF1A32"/>
    <w:multiLevelType w:val="hybridMultilevel"/>
    <w:tmpl w:val="8D9E8B94"/>
    <w:lvl w:ilvl="0" w:tplc="4DFC0EF8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1560" w:hanging="420"/>
      </w:pPr>
    </w:lvl>
    <w:lvl w:ilvl="2" w:tplc="DEA4CFF8" w:tentative="1">
      <w:start w:val="1"/>
      <w:numFmt w:val="lowerRoman"/>
      <w:lvlText w:val="%3."/>
      <w:lvlJc w:val="right"/>
      <w:pPr>
        <w:ind w:left="1980" w:hanging="420"/>
      </w:pPr>
    </w:lvl>
    <w:lvl w:ilvl="3" w:tplc="0ABC538C" w:tentative="1">
      <w:start w:val="1"/>
      <w:numFmt w:val="decimal"/>
      <w:lvlText w:val="%4."/>
      <w:lvlJc w:val="left"/>
      <w:pPr>
        <w:ind w:left="2400" w:hanging="420"/>
      </w:pPr>
    </w:lvl>
    <w:lvl w:ilvl="4" w:tplc="9B50DB78" w:tentative="1">
      <w:start w:val="1"/>
      <w:numFmt w:val="lowerLetter"/>
      <w:lvlText w:val="%5)"/>
      <w:lvlJc w:val="left"/>
      <w:pPr>
        <w:ind w:left="2820" w:hanging="420"/>
      </w:pPr>
    </w:lvl>
    <w:lvl w:ilvl="5" w:tplc="111CD4AA" w:tentative="1">
      <w:start w:val="1"/>
      <w:numFmt w:val="lowerRoman"/>
      <w:lvlText w:val="%6."/>
      <w:lvlJc w:val="right"/>
      <w:pPr>
        <w:ind w:left="3240" w:hanging="420"/>
      </w:pPr>
    </w:lvl>
    <w:lvl w:ilvl="6" w:tplc="2842DD04" w:tentative="1">
      <w:start w:val="1"/>
      <w:numFmt w:val="decimal"/>
      <w:lvlText w:val="%7."/>
      <w:lvlJc w:val="left"/>
      <w:pPr>
        <w:ind w:left="3660" w:hanging="420"/>
      </w:pPr>
    </w:lvl>
    <w:lvl w:ilvl="7" w:tplc="A33CAAEA" w:tentative="1">
      <w:start w:val="1"/>
      <w:numFmt w:val="lowerLetter"/>
      <w:lvlText w:val="%8)"/>
      <w:lvlJc w:val="left"/>
      <w:pPr>
        <w:ind w:left="4080" w:hanging="420"/>
      </w:pPr>
    </w:lvl>
    <w:lvl w:ilvl="8" w:tplc="4E86005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35D16322"/>
    <w:multiLevelType w:val="hybridMultilevel"/>
    <w:tmpl w:val="16AE7E84"/>
    <w:lvl w:ilvl="0" w:tplc="879E22FE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8C92885"/>
    <w:multiLevelType w:val="hybridMultilevel"/>
    <w:tmpl w:val="3BC8BADA"/>
    <w:lvl w:ilvl="0" w:tplc="4DFC0EF8">
      <w:start w:val="1"/>
      <w:numFmt w:val="decimal"/>
      <w:lvlText w:val="%1."/>
      <w:lvlJc w:val="left"/>
      <w:pPr>
        <w:ind w:left="420" w:hanging="420"/>
      </w:p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FD51C9B"/>
    <w:multiLevelType w:val="hybridMultilevel"/>
    <w:tmpl w:val="1AD83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0A8320F"/>
    <w:multiLevelType w:val="hybridMultilevel"/>
    <w:tmpl w:val="F66C4FEA"/>
    <w:lvl w:ilvl="0" w:tplc="4DFC0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18D7EF7"/>
    <w:multiLevelType w:val="hybridMultilevel"/>
    <w:tmpl w:val="C87CB43A"/>
    <w:lvl w:ilvl="0" w:tplc="4DFC0EF8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2E624B2"/>
    <w:multiLevelType w:val="hybridMultilevel"/>
    <w:tmpl w:val="C51C5F94"/>
    <w:lvl w:ilvl="0" w:tplc="4DFC0EF8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3C061DA"/>
    <w:multiLevelType w:val="hybridMultilevel"/>
    <w:tmpl w:val="0812F6D2"/>
    <w:lvl w:ilvl="0" w:tplc="13E44F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5C23F02"/>
    <w:multiLevelType w:val="hybridMultilevel"/>
    <w:tmpl w:val="64C8DC7A"/>
    <w:lvl w:ilvl="0" w:tplc="2C9EF0C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52465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39D4F58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38A4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D2A13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C4BE5FF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84841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49A3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A24823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B7F6B72"/>
    <w:multiLevelType w:val="hybridMultilevel"/>
    <w:tmpl w:val="2524439C"/>
    <w:lvl w:ilvl="0" w:tplc="04090001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03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24">
    <w:nsid w:val="5F7717ED"/>
    <w:multiLevelType w:val="hybridMultilevel"/>
    <w:tmpl w:val="09209028"/>
    <w:lvl w:ilvl="0" w:tplc="015C8DD2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6">
    <w:nsid w:val="666C0CB7"/>
    <w:multiLevelType w:val="hybridMultilevel"/>
    <w:tmpl w:val="86B2FF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70A3D84"/>
    <w:multiLevelType w:val="hybridMultilevel"/>
    <w:tmpl w:val="795AD96C"/>
    <w:lvl w:ilvl="0" w:tplc="07220D5C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D2420E2"/>
    <w:multiLevelType w:val="hybridMultilevel"/>
    <w:tmpl w:val="3E709AA6"/>
    <w:lvl w:ilvl="0" w:tplc="E4F647EE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2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7"/>
  </w:num>
  <w:num w:numId="12">
    <w:abstractNumId w:val="25"/>
  </w:num>
  <w:num w:numId="13">
    <w:abstractNumId w:val="9"/>
  </w:num>
  <w:num w:numId="14">
    <w:abstractNumId w:val="28"/>
  </w:num>
  <w:num w:numId="15">
    <w:abstractNumId w:val="19"/>
  </w:num>
  <w:num w:numId="16">
    <w:abstractNumId w:val="20"/>
  </w:num>
  <w:num w:numId="17">
    <w:abstractNumId w:val="16"/>
  </w:num>
  <w:num w:numId="18">
    <w:abstractNumId w:val="2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13"/>
  </w:num>
  <w:num w:numId="23">
    <w:abstractNumId w:val="18"/>
  </w:num>
  <w:num w:numId="24">
    <w:abstractNumId w:val="15"/>
  </w:num>
  <w:num w:numId="25">
    <w:abstractNumId w:val="4"/>
  </w:num>
  <w:num w:numId="26">
    <w:abstractNumId w:val="11"/>
  </w:num>
  <w:num w:numId="27">
    <w:abstractNumId w:val="8"/>
  </w:num>
  <w:num w:numId="28">
    <w:abstractNumId w:val="21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C10"/>
    <w:rsid w:val="0005090F"/>
    <w:rsid w:val="000759EC"/>
    <w:rsid w:val="00083D6A"/>
    <w:rsid w:val="000B3693"/>
    <w:rsid w:val="000B41B6"/>
    <w:rsid w:val="00101C48"/>
    <w:rsid w:val="001243BE"/>
    <w:rsid w:val="00130F3C"/>
    <w:rsid w:val="001516B8"/>
    <w:rsid w:val="0015535F"/>
    <w:rsid w:val="00161A96"/>
    <w:rsid w:val="001B33AC"/>
    <w:rsid w:val="001B72DE"/>
    <w:rsid w:val="001C10A8"/>
    <w:rsid w:val="001D2529"/>
    <w:rsid w:val="001E2C63"/>
    <w:rsid w:val="00210939"/>
    <w:rsid w:val="00217D1A"/>
    <w:rsid w:val="002507F2"/>
    <w:rsid w:val="002C2DE8"/>
    <w:rsid w:val="003317E5"/>
    <w:rsid w:val="003B107D"/>
    <w:rsid w:val="003B721F"/>
    <w:rsid w:val="003D1272"/>
    <w:rsid w:val="003F678F"/>
    <w:rsid w:val="003F79D6"/>
    <w:rsid w:val="00414783"/>
    <w:rsid w:val="0043629D"/>
    <w:rsid w:val="00497C7E"/>
    <w:rsid w:val="004B47B1"/>
    <w:rsid w:val="004D5568"/>
    <w:rsid w:val="0051123B"/>
    <w:rsid w:val="00535D6F"/>
    <w:rsid w:val="00550FD9"/>
    <w:rsid w:val="00560782"/>
    <w:rsid w:val="00622C3A"/>
    <w:rsid w:val="00623A26"/>
    <w:rsid w:val="0063326E"/>
    <w:rsid w:val="00644502"/>
    <w:rsid w:val="006879F9"/>
    <w:rsid w:val="006A1753"/>
    <w:rsid w:val="006B3621"/>
    <w:rsid w:val="006F5270"/>
    <w:rsid w:val="006F64B3"/>
    <w:rsid w:val="00700ECC"/>
    <w:rsid w:val="0070116A"/>
    <w:rsid w:val="00701559"/>
    <w:rsid w:val="00761259"/>
    <w:rsid w:val="007776A9"/>
    <w:rsid w:val="007A446E"/>
    <w:rsid w:val="007A6147"/>
    <w:rsid w:val="007C213F"/>
    <w:rsid w:val="007C4E4A"/>
    <w:rsid w:val="008168BD"/>
    <w:rsid w:val="00821638"/>
    <w:rsid w:val="00845B88"/>
    <w:rsid w:val="00862CF2"/>
    <w:rsid w:val="008710F9"/>
    <w:rsid w:val="00880699"/>
    <w:rsid w:val="00880D7D"/>
    <w:rsid w:val="0089673B"/>
    <w:rsid w:val="008A4E3E"/>
    <w:rsid w:val="008C111F"/>
    <w:rsid w:val="008D3424"/>
    <w:rsid w:val="008F16A2"/>
    <w:rsid w:val="00921892"/>
    <w:rsid w:val="00930952"/>
    <w:rsid w:val="00941F1C"/>
    <w:rsid w:val="00951547"/>
    <w:rsid w:val="00986CDD"/>
    <w:rsid w:val="00996876"/>
    <w:rsid w:val="009B3706"/>
    <w:rsid w:val="009F13CD"/>
    <w:rsid w:val="009F7669"/>
    <w:rsid w:val="00A06B39"/>
    <w:rsid w:val="00A140B8"/>
    <w:rsid w:val="00A253E3"/>
    <w:rsid w:val="00A54A64"/>
    <w:rsid w:val="00A67D55"/>
    <w:rsid w:val="00AB47CE"/>
    <w:rsid w:val="00AB67BB"/>
    <w:rsid w:val="00AC6336"/>
    <w:rsid w:val="00AE490E"/>
    <w:rsid w:val="00B02237"/>
    <w:rsid w:val="00B31C4E"/>
    <w:rsid w:val="00B53B76"/>
    <w:rsid w:val="00B708D6"/>
    <w:rsid w:val="00B80B6E"/>
    <w:rsid w:val="00B84A84"/>
    <w:rsid w:val="00BA391A"/>
    <w:rsid w:val="00BB741D"/>
    <w:rsid w:val="00BE11BC"/>
    <w:rsid w:val="00BE2AEB"/>
    <w:rsid w:val="00BE3743"/>
    <w:rsid w:val="00C12E89"/>
    <w:rsid w:val="00C35BCB"/>
    <w:rsid w:val="00C35EEE"/>
    <w:rsid w:val="00C51768"/>
    <w:rsid w:val="00C81677"/>
    <w:rsid w:val="00CA1629"/>
    <w:rsid w:val="00CB4AC9"/>
    <w:rsid w:val="00CE65F3"/>
    <w:rsid w:val="00CF5B55"/>
    <w:rsid w:val="00D36577"/>
    <w:rsid w:val="00D50045"/>
    <w:rsid w:val="00D87038"/>
    <w:rsid w:val="00D91B1B"/>
    <w:rsid w:val="00D96584"/>
    <w:rsid w:val="00DD192F"/>
    <w:rsid w:val="00E1525A"/>
    <w:rsid w:val="00E733AB"/>
    <w:rsid w:val="00EC5BA5"/>
    <w:rsid w:val="00ED74AF"/>
    <w:rsid w:val="00EE1C10"/>
    <w:rsid w:val="00EE4F68"/>
    <w:rsid w:val="00EE7C01"/>
    <w:rsid w:val="00EF7DEE"/>
    <w:rsid w:val="00F16F75"/>
    <w:rsid w:val="00F17533"/>
    <w:rsid w:val="00F60746"/>
    <w:rsid w:val="00F628CA"/>
    <w:rsid w:val="00F66AD9"/>
    <w:rsid w:val="00FD6551"/>
    <w:rsid w:val="00FE093E"/>
    <w:rsid w:val="00FE4AFD"/>
    <w:rsid w:val="00FF0263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styleId="a8">
    <w:name w:val="page number"/>
    <w:uiPriority w:val="99"/>
    <w:rsid w:val="00AC6336"/>
    <w:rPr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List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209</Words>
  <Characters>1196</Characters>
  <Application>Microsoft Office Word</Application>
  <DocSecurity>0</DocSecurity>
  <Lines>9</Lines>
  <Paragraphs>2</Paragraphs>
  <ScaleCrop>false</ScaleCrop>
  <Company>sdb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李稀真</cp:lastModifiedBy>
  <cp:revision>19</cp:revision>
  <dcterms:created xsi:type="dcterms:W3CDTF">2017-08-08T09:37:00Z</dcterms:created>
  <dcterms:modified xsi:type="dcterms:W3CDTF">2018-10-19T08:57:00Z</dcterms:modified>
</cp:coreProperties>
</file>