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8E" w:rsidRDefault="00AE7D73" w:rsidP="00476FE8">
      <w:pPr>
        <w:adjustRightInd w:val="0"/>
        <w:snapToGrid w:val="0"/>
        <w:spacing w:beforeLines="50" w:afterLines="50" w:line="480" w:lineRule="auto"/>
        <w:rPr>
          <w:rFonts w:ascii="宋体" w:hAnsi="宋体" w:cs="宋体"/>
          <w:sz w:val="24"/>
        </w:rPr>
      </w:pPr>
      <w:r>
        <w:rPr>
          <w:rFonts w:ascii="宋体" w:hAnsi="宋体" w:hint="eastAsia"/>
          <w:bCs/>
          <w:iCs/>
          <w:sz w:val="24"/>
        </w:rPr>
        <w:t>证券代码：</w:t>
      </w:r>
      <w:r>
        <w:rPr>
          <w:rFonts w:ascii="宋体" w:hAnsi="宋体" w:cs="宋体"/>
          <w:sz w:val="24"/>
        </w:rPr>
        <w:t>000606</w:t>
      </w:r>
      <w:r>
        <w:rPr>
          <w:rFonts w:ascii="宋体" w:hAnsi="宋体" w:hint="eastAsia"/>
          <w:bCs/>
          <w:iCs/>
          <w:sz w:val="24"/>
        </w:rPr>
        <w:t xml:space="preserve">      </w:t>
      </w:r>
      <w:r w:rsidR="00872DEB">
        <w:rPr>
          <w:rFonts w:ascii="宋体" w:hAnsi="宋体" w:hint="eastAsia"/>
          <w:bCs/>
          <w:iCs/>
          <w:sz w:val="24"/>
        </w:rPr>
        <w:t xml:space="preserve">              </w:t>
      </w:r>
      <w:r>
        <w:rPr>
          <w:rFonts w:ascii="宋体" w:hAnsi="宋体" w:hint="eastAsia"/>
          <w:bCs/>
          <w:iCs/>
          <w:sz w:val="24"/>
        </w:rPr>
        <w:t xml:space="preserve">                 证券简称：</w:t>
      </w:r>
      <w:r w:rsidR="00872DEB">
        <w:rPr>
          <w:rFonts w:ascii="宋体" w:hAnsi="宋体" w:cs="宋体" w:hint="eastAsia"/>
          <w:sz w:val="24"/>
        </w:rPr>
        <w:t>顺利</w:t>
      </w:r>
      <w:r w:rsidR="00872DEB">
        <w:rPr>
          <w:rFonts w:ascii="宋体" w:hAnsi="宋体" w:cs="宋体"/>
          <w:sz w:val="24"/>
        </w:rPr>
        <w:t>办</w:t>
      </w:r>
    </w:p>
    <w:p w:rsidR="00872DEB" w:rsidRDefault="00872DEB" w:rsidP="00476FE8">
      <w:pPr>
        <w:tabs>
          <w:tab w:val="left" w:pos="1320"/>
          <w:tab w:val="center" w:pos="4153"/>
        </w:tabs>
        <w:adjustRightInd w:val="0"/>
        <w:snapToGrid w:val="0"/>
        <w:spacing w:beforeLines="50" w:afterLines="50"/>
        <w:jc w:val="center"/>
        <w:rPr>
          <w:rFonts w:ascii="宋体" w:hAnsi="宋体" w:cs="宋体"/>
          <w:b/>
          <w:sz w:val="32"/>
        </w:rPr>
      </w:pPr>
      <w:r>
        <w:rPr>
          <w:rFonts w:ascii="宋体" w:hAnsi="宋体" w:cs="宋体"/>
          <w:b/>
          <w:sz w:val="32"/>
        </w:rPr>
        <w:t>顺利办信息服务股份有限公司</w:t>
      </w:r>
    </w:p>
    <w:p w:rsidR="00C40E1D" w:rsidRDefault="00872DEB" w:rsidP="00476FE8">
      <w:pPr>
        <w:tabs>
          <w:tab w:val="left" w:pos="1320"/>
          <w:tab w:val="center" w:pos="4153"/>
        </w:tabs>
        <w:adjustRightInd w:val="0"/>
        <w:snapToGrid w:val="0"/>
        <w:spacing w:beforeLines="50" w:afterLines="50" w:line="480" w:lineRule="auto"/>
        <w:jc w:val="center"/>
        <w:rPr>
          <w:rFonts w:ascii="宋体" w:hAnsi="宋体"/>
          <w:bCs/>
          <w:iCs/>
          <w:sz w:val="24"/>
        </w:rPr>
      </w:pPr>
      <w:r>
        <w:rPr>
          <w:rFonts w:ascii="宋体" w:hAnsi="宋体" w:hint="eastAsia"/>
          <w:b/>
          <w:bCs/>
          <w:iCs/>
          <w:sz w:val="30"/>
          <w:szCs w:val="30"/>
        </w:rPr>
        <w:t>投</w:t>
      </w:r>
      <w:r w:rsidR="00AE7D73">
        <w:rPr>
          <w:rFonts w:ascii="宋体" w:hAnsi="宋体" w:hint="eastAsia"/>
          <w:b/>
          <w:bCs/>
          <w:iCs/>
          <w:sz w:val="30"/>
          <w:szCs w:val="30"/>
        </w:rPr>
        <w:t>资者关系活动记录表</w:t>
      </w:r>
      <w:r w:rsidR="00AE7D73">
        <w:rPr>
          <w:rFonts w:ascii="宋体" w:hAnsi="宋体" w:hint="eastAsia"/>
          <w:bCs/>
          <w:iCs/>
          <w:sz w:val="24"/>
        </w:rPr>
        <w:t xml:space="preserve">                                                 </w:t>
      </w:r>
    </w:p>
    <w:p w:rsidR="0012408E" w:rsidRDefault="00AE7D73" w:rsidP="00C40E1D">
      <w:pPr>
        <w:spacing w:line="400" w:lineRule="exact"/>
        <w:jc w:val="right"/>
        <w:rPr>
          <w:rFonts w:ascii="宋体" w:hAnsi="宋体"/>
          <w:bCs/>
          <w:iCs/>
          <w:sz w:val="24"/>
        </w:rPr>
      </w:pPr>
      <w:r>
        <w:rPr>
          <w:rFonts w:ascii="宋体" w:hAnsi="宋体" w:hint="eastAsia"/>
          <w:bCs/>
          <w:iCs/>
          <w:sz w:val="24"/>
        </w:rPr>
        <w:t>编号：</w:t>
      </w:r>
      <w:r>
        <w:rPr>
          <w:rFonts w:ascii="宋体" w:hAnsi="宋体" w:cs="宋体"/>
          <w:sz w:val="24"/>
        </w:rPr>
        <w:t>201800</w:t>
      </w:r>
      <w:r w:rsidR="00C40E1D">
        <w:rPr>
          <w:rFonts w:ascii="宋体" w:hAnsi="宋体" w:cs="宋体" w:hint="eastAsia"/>
          <w:sz w:val="24"/>
        </w:rPr>
        <w:t>5</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744"/>
      </w:tblGrid>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pPr>
              <w:spacing w:line="480" w:lineRule="atLeast"/>
              <w:jc w:val="center"/>
              <w:rPr>
                <w:rFonts w:ascii="宋体" w:hAnsi="宋体"/>
                <w:b/>
                <w:bCs/>
                <w:iCs/>
                <w:sz w:val="24"/>
              </w:rPr>
            </w:pPr>
            <w:r>
              <w:rPr>
                <w:rFonts w:ascii="宋体" w:hAnsi="宋体" w:hint="eastAsia"/>
                <w:b/>
                <w:bCs/>
                <w:iCs/>
                <w:sz w:val="24"/>
              </w:rPr>
              <w:t>投资者关系活动类别</w:t>
            </w:r>
          </w:p>
        </w:tc>
        <w:tc>
          <w:tcPr>
            <w:tcW w:w="6744" w:type="dxa"/>
            <w:tcBorders>
              <w:top w:val="single" w:sz="4" w:space="0" w:color="auto"/>
              <w:left w:val="single" w:sz="4" w:space="0" w:color="auto"/>
              <w:bottom w:val="single" w:sz="4" w:space="0" w:color="auto"/>
              <w:right w:val="single" w:sz="4" w:space="0" w:color="auto"/>
            </w:tcBorders>
          </w:tcPr>
          <w:p w:rsidR="0012408E" w:rsidRDefault="00AE7D73">
            <w:pPr>
              <w:spacing w:line="480" w:lineRule="atLeast"/>
              <w:rPr>
                <w:rFonts w:ascii="宋体" w:hAnsi="宋体"/>
                <w:bCs/>
                <w:iCs/>
                <w:sz w:val="24"/>
              </w:rPr>
            </w:pPr>
            <w:r>
              <w:rPr>
                <w:rFonts w:ascii="宋体" w:hAnsi="宋体" w:cs="宋体"/>
                <w:sz w:val="24"/>
              </w:rPr>
              <w:t>█</w:t>
            </w:r>
            <w:r>
              <w:rPr>
                <w:rFonts w:ascii="宋体" w:hAnsi="宋体" w:hint="eastAsia"/>
                <w:sz w:val="24"/>
              </w:rPr>
              <w:t xml:space="preserve">特定对象调研        </w:t>
            </w:r>
            <w:r>
              <w:rPr>
                <w:rFonts w:ascii="宋体" w:hAnsi="宋体" w:cs="宋体"/>
                <w:sz w:val="24"/>
              </w:rPr>
              <w:t>□</w:t>
            </w:r>
            <w:r>
              <w:rPr>
                <w:rFonts w:ascii="宋体" w:hAnsi="宋体" w:hint="eastAsia"/>
                <w:sz w:val="24"/>
              </w:rPr>
              <w:t>分析师会议</w:t>
            </w:r>
          </w:p>
          <w:p w:rsidR="0012408E" w:rsidRDefault="00AE7D73">
            <w:pPr>
              <w:spacing w:line="480" w:lineRule="atLeast"/>
              <w:rPr>
                <w:rFonts w:ascii="宋体" w:hAnsi="宋体"/>
                <w:bCs/>
                <w:iCs/>
                <w:sz w:val="24"/>
              </w:rPr>
            </w:pPr>
            <w:r>
              <w:rPr>
                <w:rFonts w:ascii="宋体" w:hAnsi="宋体" w:cs="宋体"/>
                <w:sz w:val="24"/>
              </w:rPr>
              <w:t>□</w:t>
            </w:r>
            <w:r>
              <w:rPr>
                <w:rFonts w:ascii="宋体" w:hAnsi="宋体" w:hint="eastAsia"/>
                <w:sz w:val="24"/>
              </w:rPr>
              <w:t xml:space="preserve">媒体采访            </w:t>
            </w:r>
            <w:r>
              <w:rPr>
                <w:rFonts w:ascii="宋体" w:hAnsi="宋体" w:cs="宋体"/>
                <w:sz w:val="24"/>
              </w:rPr>
              <w:t>□</w:t>
            </w:r>
            <w:r>
              <w:rPr>
                <w:rFonts w:ascii="宋体" w:hAnsi="宋体" w:hint="eastAsia"/>
                <w:sz w:val="24"/>
              </w:rPr>
              <w:t>业绩说明会</w:t>
            </w:r>
          </w:p>
          <w:p w:rsidR="0012408E" w:rsidRDefault="00AE7D73">
            <w:pPr>
              <w:spacing w:line="480" w:lineRule="atLeast"/>
              <w:rPr>
                <w:rFonts w:ascii="宋体" w:hAnsi="宋体"/>
                <w:bCs/>
                <w:iCs/>
                <w:sz w:val="24"/>
              </w:rPr>
            </w:pPr>
            <w:r>
              <w:rPr>
                <w:rFonts w:ascii="宋体" w:hAnsi="宋体" w:cs="宋体"/>
                <w:sz w:val="24"/>
              </w:rPr>
              <w:t>□</w:t>
            </w:r>
            <w:r>
              <w:rPr>
                <w:rFonts w:ascii="宋体" w:hAnsi="宋体" w:hint="eastAsia"/>
                <w:sz w:val="24"/>
              </w:rPr>
              <w:t xml:space="preserve">新闻发布会          </w:t>
            </w:r>
            <w:r>
              <w:rPr>
                <w:rFonts w:ascii="宋体" w:hAnsi="宋体" w:cs="宋体"/>
                <w:sz w:val="24"/>
              </w:rPr>
              <w:t>□</w:t>
            </w:r>
            <w:r>
              <w:rPr>
                <w:rFonts w:ascii="宋体" w:hAnsi="宋体" w:hint="eastAsia"/>
                <w:sz w:val="24"/>
              </w:rPr>
              <w:t>路演活动</w:t>
            </w:r>
          </w:p>
          <w:p w:rsidR="0012408E" w:rsidRDefault="00AE7D73">
            <w:pPr>
              <w:tabs>
                <w:tab w:val="left" w:pos="3045"/>
                <w:tab w:val="center" w:pos="3199"/>
              </w:tabs>
              <w:spacing w:line="480" w:lineRule="atLeast"/>
              <w:rPr>
                <w:rFonts w:ascii="宋体" w:hAnsi="宋体"/>
                <w:bCs/>
                <w:iCs/>
                <w:sz w:val="24"/>
              </w:rPr>
            </w:pPr>
            <w:r>
              <w:rPr>
                <w:rFonts w:ascii="宋体" w:hAnsi="宋体" w:cs="宋体"/>
                <w:sz w:val="24"/>
              </w:rPr>
              <w:t>□</w:t>
            </w:r>
            <w:r>
              <w:rPr>
                <w:rFonts w:ascii="宋体" w:hAnsi="宋体" w:hint="eastAsia"/>
                <w:sz w:val="24"/>
              </w:rPr>
              <w:t xml:space="preserve">现场参观            </w:t>
            </w:r>
            <w:r>
              <w:rPr>
                <w:rFonts w:ascii="宋体" w:hAnsi="宋体" w:cs="宋体"/>
                <w:sz w:val="24"/>
              </w:rPr>
              <w:t>□</w:t>
            </w:r>
            <w:r>
              <w:rPr>
                <w:rFonts w:ascii="宋体" w:hAnsi="宋体" w:hint="eastAsia"/>
                <w:sz w:val="24"/>
              </w:rPr>
              <w:t>电话通讯</w:t>
            </w:r>
          </w:p>
          <w:p w:rsidR="0012408E" w:rsidRDefault="00AE7D73">
            <w:pPr>
              <w:tabs>
                <w:tab w:val="center" w:pos="3199"/>
              </w:tabs>
              <w:spacing w:line="480" w:lineRule="atLeast"/>
              <w:rPr>
                <w:rFonts w:ascii="宋体" w:hAnsi="宋体"/>
                <w:bCs/>
                <w:iCs/>
                <w:sz w:val="24"/>
              </w:rPr>
            </w:pPr>
            <w:r>
              <w:rPr>
                <w:rFonts w:ascii="宋体" w:hAnsi="宋体" w:cs="宋体"/>
                <w:sz w:val="24"/>
              </w:rPr>
              <w:t>□</w:t>
            </w:r>
            <w:r>
              <w:rPr>
                <w:rFonts w:ascii="宋体" w:hAnsi="宋体" w:hint="eastAsia"/>
                <w:sz w:val="24"/>
              </w:rPr>
              <w:t>其他</w:t>
            </w:r>
          </w:p>
        </w:tc>
      </w:tr>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4549BD">
            <w:pPr>
              <w:adjustRightInd w:val="0"/>
              <w:snapToGrid w:val="0"/>
              <w:jc w:val="center"/>
              <w:rPr>
                <w:rFonts w:ascii="宋体" w:hAnsi="宋体"/>
                <w:b/>
                <w:bCs/>
                <w:iCs/>
                <w:sz w:val="24"/>
              </w:rPr>
            </w:pPr>
            <w:r>
              <w:rPr>
                <w:rFonts w:ascii="宋体" w:hAnsi="宋体" w:hint="eastAsia"/>
                <w:b/>
                <w:bCs/>
                <w:iCs/>
                <w:sz w:val="24"/>
              </w:rPr>
              <w:t>参与单位名称及人员姓名</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Pr="0010351D" w:rsidRDefault="0010351D" w:rsidP="002042C8">
            <w:pPr>
              <w:adjustRightInd w:val="0"/>
              <w:snapToGrid w:val="0"/>
              <w:spacing w:line="360" w:lineRule="auto"/>
              <w:rPr>
                <w:rFonts w:ascii="宋体" w:hAnsi="宋体"/>
                <w:bCs/>
                <w:iCs/>
                <w:sz w:val="24"/>
              </w:rPr>
            </w:pPr>
            <w:r w:rsidRPr="0010351D">
              <w:rPr>
                <w:rFonts w:ascii="宋体" w:hAnsi="宋体" w:hint="eastAsia"/>
                <w:bCs/>
                <w:iCs/>
                <w:sz w:val="24"/>
              </w:rPr>
              <w:t>申万宏源、</w:t>
            </w:r>
            <w:r w:rsidR="002042C8" w:rsidRPr="0010351D">
              <w:rPr>
                <w:rFonts w:ascii="宋体" w:hAnsi="宋体" w:hint="eastAsia"/>
                <w:bCs/>
                <w:iCs/>
                <w:sz w:val="24"/>
              </w:rPr>
              <w:t>华泰证券、</w:t>
            </w:r>
            <w:r w:rsidR="001C5F9B" w:rsidRPr="0010351D">
              <w:rPr>
                <w:rFonts w:ascii="宋体" w:hAnsi="宋体" w:hint="eastAsia"/>
                <w:bCs/>
                <w:iCs/>
                <w:sz w:val="24"/>
              </w:rPr>
              <w:t>长城证券、方正证券、</w:t>
            </w:r>
            <w:r w:rsidRPr="0010351D">
              <w:rPr>
                <w:rFonts w:ascii="宋体" w:hAnsi="宋体" w:hint="eastAsia"/>
                <w:bCs/>
                <w:iCs/>
                <w:sz w:val="24"/>
              </w:rPr>
              <w:t>中汇基金、华商基金、平安银行、中和资本、国金证券、东兴证券、华创证券、西部证券、太平洋证券、</w:t>
            </w:r>
            <w:r w:rsidR="00211B91" w:rsidRPr="0010351D">
              <w:rPr>
                <w:rFonts w:ascii="宋体" w:hAnsi="宋体" w:hint="eastAsia"/>
                <w:bCs/>
                <w:iCs/>
                <w:sz w:val="24"/>
              </w:rPr>
              <w:t>中信建投证券、</w:t>
            </w:r>
            <w:r w:rsidRPr="0010351D">
              <w:rPr>
                <w:rFonts w:ascii="宋体" w:hAnsi="宋体" w:hint="eastAsia"/>
                <w:bCs/>
                <w:iCs/>
                <w:sz w:val="24"/>
              </w:rPr>
              <w:t>和君资本、华龙证券、</w:t>
            </w:r>
            <w:r w:rsidR="00543005" w:rsidRPr="0010351D">
              <w:rPr>
                <w:rFonts w:ascii="宋体" w:hAnsi="宋体" w:hint="eastAsia"/>
                <w:bCs/>
                <w:iCs/>
                <w:sz w:val="24"/>
              </w:rPr>
              <w:t>西部利得基金</w:t>
            </w:r>
            <w:r w:rsidR="001C5F9B" w:rsidRPr="0010351D">
              <w:rPr>
                <w:rFonts w:ascii="宋体" w:hAnsi="宋体" w:hint="eastAsia"/>
                <w:bCs/>
                <w:iCs/>
                <w:sz w:val="24"/>
              </w:rPr>
              <w:t>、</w:t>
            </w:r>
            <w:r w:rsidR="00211B91" w:rsidRPr="0010351D">
              <w:rPr>
                <w:rFonts w:ascii="宋体" w:hAnsi="宋体" w:hint="eastAsia"/>
                <w:bCs/>
                <w:iCs/>
                <w:sz w:val="24"/>
              </w:rPr>
              <w:t>中关村并购母基金、</w:t>
            </w:r>
            <w:r w:rsidR="001C5F9B" w:rsidRPr="0010351D">
              <w:rPr>
                <w:rFonts w:ascii="宋体" w:hAnsi="宋体" w:hint="eastAsia"/>
                <w:bCs/>
                <w:iCs/>
                <w:sz w:val="24"/>
              </w:rPr>
              <w:t>普信资本、上海通琨投资管理公司、北京润泰洋行资产管理公司、金汇博林资本管理公司、</w:t>
            </w:r>
            <w:r w:rsidR="00543005" w:rsidRPr="0010351D">
              <w:rPr>
                <w:rFonts w:ascii="宋体" w:hAnsi="宋体" w:hint="eastAsia"/>
                <w:bCs/>
                <w:iCs/>
                <w:sz w:val="24"/>
              </w:rPr>
              <w:t>万象光华投资管理公司、</w:t>
            </w:r>
            <w:r w:rsidRPr="0010351D">
              <w:rPr>
                <w:rFonts w:ascii="宋体" w:hAnsi="宋体" w:hint="eastAsia"/>
                <w:bCs/>
                <w:iCs/>
                <w:sz w:val="24"/>
              </w:rPr>
              <w:t>首善财富管理集团、远东国际租赁公司、上海务聚投资管理合伙企业、北京永瑞财富投资管理公司、中楷控股集团、高晟财富控股集团</w:t>
            </w:r>
          </w:p>
        </w:tc>
      </w:tr>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4549BD">
            <w:pPr>
              <w:adjustRightInd w:val="0"/>
              <w:snapToGrid w:val="0"/>
              <w:jc w:val="center"/>
              <w:rPr>
                <w:rFonts w:ascii="宋体" w:hAnsi="宋体"/>
                <w:b/>
                <w:bCs/>
                <w:iCs/>
                <w:sz w:val="24"/>
              </w:rPr>
            </w:pPr>
            <w:r>
              <w:rPr>
                <w:rFonts w:ascii="宋体" w:hAnsi="宋体" w:hint="eastAsia"/>
                <w:b/>
                <w:bCs/>
                <w:iCs/>
                <w:sz w:val="24"/>
              </w:rPr>
              <w:t>时间</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Default="00AE7D73" w:rsidP="00354C19">
            <w:pPr>
              <w:adjustRightInd w:val="0"/>
              <w:snapToGrid w:val="0"/>
              <w:rPr>
                <w:rFonts w:ascii="宋体" w:hAnsi="宋体"/>
                <w:bCs/>
                <w:iCs/>
                <w:sz w:val="24"/>
              </w:rPr>
            </w:pPr>
            <w:r>
              <w:rPr>
                <w:rFonts w:ascii="宋体" w:hAnsi="宋体" w:cs="宋体"/>
                <w:sz w:val="24"/>
              </w:rPr>
              <w:t>2018年</w:t>
            </w:r>
            <w:r w:rsidR="00354C19">
              <w:rPr>
                <w:rFonts w:ascii="宋体" w:hAnsi="宋体" w:cs="宋体" w:hint="eastAsia"/>
                <w:sz w:val="24"/>
              </w:rPr>
              <w:t>11</w:t>
            </w:r>
            <w:r>
              <w:rPr>
                <w:rFonts w:ascii="宋体" w:hAnsi="宋体" w:cs="宋体"/>
                <w:sz w:val="24"/>
              </w:rPr>
              <w:t>月</w:t>
            </w:r>
            <w:r w:rsidR="00354C19">
              <w:rPr>
                <w:rFonts w:ascii="宋体" w:hAnsi="宋体" w:cs="宋体" w:hint="eastAsia"/>
                <w:sz w:val="24"/>
              </w:rPr>
              <w:t>1</w:t>
            </w:r>
            <w:r>
              <w:rPr>
                <w:rFonts w:ascii="宋体" w:hAnsi="宋体" w:cs="宋体"/>
                <w:sz w:val="24"/>
              </w:rPr>
              <w:t>日</w:t>
            </w:r>
          </w:p>
        </w:tc>
      </w:tr>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4549BD">
            <w:pPr>
              <w:adjustRightInd w:val="0"/>
              <w:snapToGrid w:val="0"/>
              <w:jc w:val="center"/>
              <w:rPr>
                <w:rFonts w:ascii="宋体" w:hAnsi="宋体"/>
                <w:b/>
                <w:bCs/>
                <w:iCs/>
                <w:sz w:val="24"/>
              </w:rPr>
            </w:pPr>
            <w:r>
              <w:rPr>
                <w:rFonts w:ascii="宋体" w:hAnsi="宋体" w:hint="eastAsia"/>
                <w:b/>
                <w:bCs/>
                <w:iCs/>
                <w:sz w:val="24"/>
              </w:rPr>
              <w:t>地点</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Default="00AE7D73" w:rsidP="004549BD">
            <w:pPr>
              <w:adjustRightInd w:val="0"/>
              <w:snapToGrid w:val="0"/>
              <w:rPr>
                <w:rFonts w:ascii="宋体" w:hAnsi="宋体"/>
                <w:bCs/>
                <w:iCs/>
                <w:sz w:val="24"/>
              </w:rPr>
            </w:pPr>
            <w:r>
              <w:rPr>
                <w:rFonts w:ascii="宋体" w:hAnsi="宋体" w:cs="宋体"/>
                <w:sz w:val="24"/>
              </w:rPr>
              <w:t>北京</w:t>
            </w:r>
          </w:p>
        </w:tc>
      </w:tr>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4549BD">
            <w:pPr>
              <w:adjustRightInd w:val="0"/>
              <w:snapToGrid w:val="0"/>
              <w:jc w:val="center"/>
              <w:rPr>
                <w:rFonts w:ascii="宋体" w:hAnsi="宋体"/>
                <w:b/>
                <w:bCs/>
                <w:iCs/>
                <w:sz w:val="24"/>
              </w:rPr>
            </w:pPr>
            <w:r>
              <w:rPr>
                <w:rFonts w:ascii="宋体" w:hAnsi="宋体" w:hint="eastAsia"/>
                <w:b/>
                <w:bCs/>
                <w:iCs/>
                <w:sz w:val="24"/>
              </w:rPr>
              <w:t>上市公司接待人员姓名</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Default="004549BD" w:rsidP="004549BD">
            <w:pPr>
              <w:adjustRightInd w:val="0"/>
              <w:snapToGrid w:val="0"/>
              <w:rPr>
                <w:rFonts w:ascii="宋体" w:hAnsi="宋体"/>
                <w:bCs/>
                <w:iCs/>
                <w:sz w:val="24"/>
              </w:rPr>
            </w:pPr>
            <w:r>
              <w:rPr>
                <w:rFonts w:ascii="宋体" w:hAnsi="宋体" w:cs="宋体" w:hint="eastAsia"/>
                <w:sz w:val="24"/>
              </w:rPr>
              <w:t>董事长彭聪、财务总监兼董事会秘书黄海勇</w:t>
            </w:r>
          </w:p>
        </w:tc>
      </w:tr>
      <w:tr w:rsidR="0012408E" w:rsidTr="00C40E1D">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12408E" w:rsidP="004549BD">
            <w:pPr>
              <w:adjustRightInd w:val="0"/>
              <w:snapToGrid w:val="0"/>
              <w:jc w:val="center"/>
              <w:rPr>
                <w:rFonts w:ascii="宋体" w:hAnsi="宋体"/>
                <w:b/>
                <w:bCs/>
                <w:iCs/>
                <w:sz w:val="24"/>
              </w:rPr>
            </w:pPr>
          </w:p>
        </w:tc>
        <w:tc>
          <w:tcPr>
            <w:tcW w:w="6744" w:type="dxa"/>
            <w:tcBorders>
              <w:top w:val="single" w:sz="4" w:space="0" w:color="auto"/>
              <w:left w:val="single" w:sz="4" w:space="0" w:color="auto"/>
              <w:bottom w:val="single" w:sz="4" w:space="0" w:color="auto"/>
              <w:right w:val="single" w:sz="4" w:space="0" w:color="auto"/>
            </w:tcBorders>
          </w:tcPr>
          <w:p w:rsidR="004549BD" w:rsidRPr="00543005" w:rsidRDefault="004549BD" w:rsidP="00476FE8">
            <w:pPr>
              <w:adjustRightInd w:val="0"/>
              <w:snapToGrid w:val="0"/>
              <w:spacing w:beforeLines="50" w:afterLines="50" w:line="360" w:lineRule="auto"/>
              <w:rPr>
                <w:rFonts w:asciiTheme="minorEastAsia" w:eastAsiaTheme="minorEastAsia" w:hAnsiTheme="minorEastAsia"/>
                <w:b/>
                <w:bCs/>
                <w:sz w:val="24"/>
              </w:rPr>
            </w:pPr>
            <w:r w:rsidRPr="00543005">
              <w:rPr>
                <w:rFonts w:asciiTheme="minorEastAsia" w:eastAsiaTheme="minorEastAsia" w:hAnsiTheme="minorEastAsia" w:hint="eastAsia"/>
                <w:b/>
                <w:bCs/>
                <w:sz w:val="24"/>
              </w:rPr>
              <w:t>一、公司战略</w:t>
            </w:r>
          </w:p>
          <w:p w:rsidR="004549BD" w:rsidRPr="00543005" w:rsidRDefault="004549BD" w:rsidP="00476FE8">
            <w:pPr>
              <w:adjustRightInd w:val="0"/>
              <w:snapToGrid w:val="0"/>
              <w:spacing w:beforeLines="50" w:afterLines="50" w:line="360" w:lineRule="auto"/>
              <w:ind w:firstLineChars="213" w:firstLine="513"/>
              <w:rPr>
                <w:rFonts w:asciiTheme="minorEastAsia" w:eastAsiaTheme="minorEastAsia" w:hAnsiTheme="minorEastAsia"/>
                <w:b/>
                <w:bCs/>
                <w:sz w:val="24"/>
              </w:rPr>
            </w:pPr>
            <w:r w:rsidRPr="00543005">
              <w:rPr>
                <w:rFonts w:asciiTheme="minorEastAsia" w:eastAsiaTheme="minorEastAsia" w:hAnsiTheme="minorEastAsia" w:hint="eastAsia"/>
                <w:b/>
                <w:bCs/>
                <w:sz w:val="24"/>
              </w:rPr>
              <w:t>主讲人：彭聪</w:t>
            </w:r>
          </w:p>
          <w:p w:rsidR="00ED6DD2" w:rsidRPr="00C40E1D" w:rsidRDefault="00ED6DD2" w:rsidP="00476FE8">
            <w:pPr>
              <w:autoSpaceDE w:val="0"/>
              <w:autoSpaceDN w:val="0"/>
              <w:adjustRightInd w:val="0"/>
              <w:snapToGrid w:val="0"/>
              <w:spacing w:beforeLines="50" w:afterLines="50" w:line="360" w:lineRule="auto"/>
              <w:ind w:firstLineChars="213" w:firstLine="511"/>
              <w:jc w:val="left"/>
              <w:rPr>
                <w:rFonts w:asciiTheme="minorEastAsia" w:eastAsiaTheme="minorEastAsia" w:hAnsiTheme="minorEastAsia"/>
                <w:kern w:val="0"/>
                <w:sz w:val="24"/>
                <w:lang w:val="zh-CN"/>
              </w:rPr>
            </w:pPr>
            <w:r w:rsidRPr="00C40E1D">
              <w:rPr>
                <w:rFonts w:asciiTheme="minorEastAsia" w:eastAsiaTheme="minorEastAsia" w:hAnsiTheme="minorEastAsia" w:hint="eastAsia"/>
                <w:kern w:val="0"/>
                <w:sz w:val="24"/>
                <w:lang w:val="zh-CN"/>
              </w:rPr>
              <w:t>公司率先进行企业服务互联网化，构建旗下神州顺利办企业运营服务平台。通过“圈地、囤人、赋能”的经营战略，打造“百城千店”。</w:t>
            </w:r>
            <w:r w:rsidRPr="00C40E1D">
              <w:rPr>
                <w:rFonts w:asciiTheme="minorEastAsia" w:eastAsiaTheme="minorEastAsia" w:hAnsiTheme="minorEastAsia"/>
                <w:kern w:val="0"/>
                <w:sz w:val="24"/>
                <w:lang w:val="zh-CN"/>
              </w:rPr>
              <w:t>2018</w:t>
            </w:r>
            <w:r w:rsidRPr="00C40E1D">
              <w:rPr>
                <w:rFonts w:asciiTheme="minorEastAsia" w:eastAsiaTheme="minorEastAsia" w:hAnsiTheme="minorEastAsia" w:hint="eastAsia"/>
                <w:kern w:val="0"/>
                <w:sz w:val="24"/>
                <w:lang w:val="zh-CN"/>
              </w:rPr>
              <w:t>年公司结合企业发展过程中的刚需，以</w:t>
            </w:r>
            <w:r w:rsidRPr="00C40E1D">
              <w:rPr>
                <w:rFonts w:asciiTheme="minorEastAsia" w:eastAsiaTheme="minorEastAsia" w:hAnsiTheme="minorEastAsia" w:hint="eastAsia"/>
                <w:kern w:val="0"/>
                <w:sz w:val="24"/>
                <w:lang w:val="zh-CN"/>
              </w:rPr>
              <w:lastRenderedPageBreak/>
              <w:t>“品牌</w:t>
            </w:r>
            <w:r w:rsidRPr="00C40E1D">
              <w:rPr>
                <w:rFonts w:asciiTheme="minorEastAsia" w:eastAsiaTheme="minorEastAsia" w:hAnsiTheme="minorEastAsia"/>
                <w:kern w:val="0"/>
                <w:sz w:val="24"/>
                <w:lang w:val="zh-CN"/>
              </w:rPr>
              <w:t>+</w:t>
            </w:r>
            <w:r w:rsidRPr="00C40E1D">
              <w:rPr>
                <w:rFonts w:asciiTheme="minorEastAsia" w:eastAsiaTheme="minorEastAsia" w:hAnsiTheme="minorEastAsia" w:hint="eastAsia"/>
                <w:kern w:val="0"/>
                <w:sz w:val="24"/>
                <w:lang w:val="zh-CN"/>
              </w:rPr>
              <w:t>平台”及“顾问咨询、人力资本、无形资产、金融保险”构成的“</w:t>
            </w:r>
            <w:r w:rsidRPr="00C40E1D">
              <w:rPr>
                <w:rFonts w:asciiTheme="minorEastAsia" w:eastAsiaTheme="minorEastAsia" w:hAnsiTheme="minorEastAsia"/>
                <w:kern w:val="0"/>
                <w:sz w:val="24"/>
                <w:lang w:val="zh-CN"/>
              </w:rPr>
              <w:t>4S</w:t>
            </w:r>
            <w:r w:rsidRPr="00C40E1D">
              <w:rPr>
                <w:rFonts w:asciiTheme="minorEastAsia" w:eastAsiaTheme="minorEastAsia" w:hAnsiTheme="minorEastAsia" w:hint="eastAsia"/>
                <w:kern w:val="0"/>
                <w:sz w:val="24"/>
                <w:lang w:val="zh-CN"/>
              </w:rPr>
              <w:t>体系”作为战略输出，加速为百城千店进行赋能发力。</w:t>
            </w:r>
          </w:p>
          <w:p w:rsidR="00ED6DD2" w:rsidRPr="00C40E1D" w:rsidRDefault="00ED6DD2" w:rsidP="00476FE8">
            <w:pPr>
              <w:autoSpaceDE w:val="0"/>
              <w:autoSpaceDN w:val="0"/>
              <w:adjustRightInd w:val="0"/>
              <w:snapToGrid w:val="0"/>
              <w:spacing w:beforeLines="50" w:afterLines="50" w:line="360" w:lineRule="auto"/>
              <w:ind w:firstLineChars="213" w:firstLine="511"/>
              <w:jc w:val="left"/>
              <w:rPr>
                <w:rFonts w:asciiTheme="minorEastAsia" w:eastAsiaTheme="minorEastAsia" w:hAnsiTheme="minorEastAsia"/>
                <w:kern w:val="0"/>
                <w:sz w:val="24"/>
                <w:lang w:val="zh-CN"/>
              </w:rPr>
            </w:pPr>
            <w:r w:rsidRPr="00C40E1D">
              <w:rPr>
                <w:rFonts w:asciiTheme="minorEastAsia" w:eastAsiaTheme="minorEastAsia" w:hAnsiTheme="minorEastAsia" w:hint="eastAsia"/>
                <w:kern w:val="0"/>
                <w:sz w:val="24"/>
                <w:lang w:val="zh-CN"/>
              </w:rPr>
              <w:t>神州顺利办打造更加规范的现代级企业服务，提供更为优质、多样化的服务，通过业务平台化，满足企业发展过程中的标准化服务和定制化服务的全部需求。</w:t>
            </w:r>
          </w:p>
          <w:p w:rsidR="00ED6DD2" w:rsidRPr="00C40E1D" w:rsidRDefault="00ED6DD2" w:rsidP="00476FE8">
            <w:pPr>
              <w:autoSpaceDE w:val="0"/>
              <w:autoSpaceDN w:val="0"/>
              <w:adjustRightInd w:val="0"/>
              <w:snapToGrid w:val="0"/>
              <w:spacing w:beforeLines="50" w:afterLines="50" w:line="360" w:lineRule="auto"/>
              <w:ind w:firstLineChars="213" w:firstLine="511"/>
              <w:jc w:val="left"/>
              <w:rPr>
                <w:rFonts w:asciiTheme="minorEastAsia" w:eastAsiaTheme="minorEastAsia" w:hAnsiTheme="minorEastAsia"/>
                <w:kern w:val="0"/>
                <w:sz w:val="24"/>
                <w:lang w:val="zh-CN"/>
              </w:rPr>
            </w:pPr>
            <w:r w:rsidRPr="00C40E1D">
              <w:rPr>
                <w:rFonts w:asciiTheme="minorEastAsia" w:eastAsiaTheme="minorEastAsia" w:hAnsiTheme="minorEastAsia" w:hint="eastAsia"/>
                <w:kern w:val="0"/>
                <w:sz w:val="24"/>
                <w:lang w:val="zh-CN"/>
              </w:rPr>
              <w:t>公司业务覆盖</w:t>
            </w:r>
            <w:r w:rsidRPr="00C40E1D">
              <w:rPr>
                <w:rFonts w:asciiTheme="minorEastAsia" w:eastAsiaTheme="minorEastAsia" w:hAnsiTheme="minorEastAsia"/>
                <w:kern w:val="0"/>
                <w:sz w:val="24"/>
                <w:lang w:val="zh-CN"/>
              </w:rPr>
              <w:t>31</w:t>
            </w:r>
            <w:r w:rsidRPr="00C40E1D">
              <w:rPr>
                <w:rFonts w:asciiTheme="minorEastAsia" w:eastAsiaTheme="minorEastAsia" w:hAnsiTheme="minorEastAsia" w:hint="eastAsia"/>
                <w:kern w:val="0"/>
                <w:sz w:val="24"/>
                <w:lang w:val="zh-CN"/>
              </w:rPr>
              <w:t>个省市，聚集了大量高粘度企业用户；以工商、代理记账为原点，展开价值延展，对大企业实现加速赋能，对小企业实现运营孵化，形成企业服务领域新生态。</w:t>
            </w:r>
          </w:p>
          <w:p w:rsidR="004549BD" w:rsidRPr="00543005" w:rsidRDefault="004549BD" w:rsidP="00476FE8">
            <w:pPr>
              <w:adjustRightInd w:val="0"/>
              <w:snapToGrid w:val="0"/>
              <w:spacing w:beforeLines="50" w:afterLines="50" w:line="360" w:lineRule="auto"/>
              <w:rPr>
                <w:rFonts w:asciiTheme="minorEastAsia" w:eastAsiaTheme="minorEastAsia" w:hAnsiTheme="minorEastAsia"/>
                <w:b/>
                <w:bCs/>
                <w:sz w:val="24"/>
              </w:rPr>
            </w:pPr>
            <w:r w:rsidRPr="00543005">
              <w:rPr>
                <w:rFonts w:asciiTheme="minorEastAsia" w:eastAsiaTheme="minorEastAsia" w:hAnsiTheme="minorEastAsia" w:hint="eastAsia"/>
                <w:b/>
                <w:bCs/>
                <w:sz w:val="24"/>
              </w:rPr>
              <w:t>二、公司前三季度经营情况</w:t>
            </w:r>
          </w:p>
          <w:p w:rsidR="004549BD" w:rsidRPr="00543005" w:rsidRDefault="004549BD" w:rsidP="00476FE8">
            <w:pPr>
              <w:adjustRightInd w:val="0"/>
              <w:snapToGrid w:val="0"/>
              <w:spacing w:beforeLines="50" w:afterLines="50" w:line="360" w:lineRule="auto"/>
              <w:ind w:firstLineChars="213" w:firstLine="513"/>
              <w:rPr>
                <w:rFonts w:asciiTheme="minorEastAsia" w:eastAsiaTheme="minorEastAsia" w:hAnsiTheme="minorEastAsia"/>
                <w:b/>
                <w:bCs/>
                <w:sz w:val="24"/>
              </w:rPr>
            </w:pPr>
            <w:r w:rsidRPr="00543005">
              <w:rPr>
                <w:rFonts w:asciiTheme="minorEastAsia" w:eastAsiaTheme="minorEastAsia" w:hAnsiTheme="minorEastAsia" w:hint="eastAsia"/>
                <w:b/>
                <w:bCs/>
                <w:sz w:val="24"/>
              </w:rPr>
              <w:t>主讲人：黄海勇</w:t>
            </w:r>
          </w:p>
          <w:p w:rsidR="00AA7D31" w:rsidRPr="00C40E1D" w:rsidRDefault="00AA7D31"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（一）</w:t>
            </w:r>
            <w:r w:rsidR="00AE7D73" w:rsidRPr="00C40E1D">
              <w:rPr>
                <w:rFonts w:asciiTheme="minorEastAsia" w:eastAsiaTheme="minorEastAsia" w:hAnsiTheme="minorEastAsia" w:cs="宋体" w:hint="eastAsia"/>
                <w:sz w:val="24"/>
                <w:szCs w:val="24"/>
              </w:rPr>
              <w:t>整体</w:t>
            </w:r>
            <w:r w:rsidRPr="00C40E1D">
              <w:rPr>
                <w:rFonts w:asciiTheme="minorEastAsia" w:eastAsiaTheme="minorEastAsia" w:hAnsiTheme="minorEastAsia" w:cs="宋体" w:hint="eastAsia"/>
                <w:sz w:val="24"/>
                <w:szCs w:val="24"/>
              </w:rPr>
              <w:t>情况</w:t>
            </w:r>
            <w:r w:rsidR="00AE7D73" w:rsidRPr="00C40E1D">
              <w:rPr>
                <w:rFonts w:asciiTheme="minorEastAsia" w:eastAsiaTheme="minorEastAsia" w:hAnsiTheme="minorEastAsia" w:cs="宋体" w:hint="eastAsia"/>
                <w:sz w:val="24"/>
                <w:szCs w:val="24"/>
              </w:rPr>
              <w:t>介绍</w:t>
            </w:r>
          </w:p>
          <w:p w:rsidR="00AA7D31" w:rsidRPr="00C40E1D" w:rsidRDefault="00AA7D31"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以圈地、囤人、赋能的战略主旋律发展百城千店，在此基础上，以代记帐为切入口，形成品牌+平台的发展模式，构建4S体系，包括人力资本、顾问咨询、金融保险、无形资产。</w:t>
            </w:r>
          </w:p>
          <w:p w:rsidR="00AA7D31" w:rsidRPr="00C40E1D" w:rsidRDefault="00ED6DD2"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w:t>
            </w:r>
            <w:r w:rsidR="00AE7D73" w:rsidRPr="00C40E1D">
              <w:rPr>
                <w:rFonts w:asciiTheme="minorEastAsia" w:eastAsiaTheme="minorEastAsia" w:hAnsiTheme="minorEastAsia" w:cs="宋体" w:hint="eastAsia"/>
                <w:sz w:val="24"/>
                <w:szCs w:val="24"/>
              </w:rPr>
              <w:t>二</w:t>
            </w:r>
            <w:r w:rsidRPr="00C40E1D">
              <w:rPr>
                <w:rFonts w:asciiTheme="minorEastAsia" w:eastAsiaTheme="minorEastAsia" w:hAnsiTheme="minorEastAsia" w:cs="宋体" w:hint="eastAsia"/>
                <w:sz w:val="24"/>
                <w:szCs w:val="24"/>
              </w:rPr>
              <w:t>）</w:t>
            </w:r>
            <w:r w:rsidR="00AE7D73" w:rsidRPr="00C40E1D">
              <w:rPr>
                <w:rFonts w:asciiTheme="minorEastAsia" w:eastAsiaTheme="minorEastAsia" w:hAnsiTheme="minorEastAsia" w:cs="宋体" w:hint="eastAsia"/>
                <w:sz w:val="24"/>
                <w:szCs w:val="24"/>
              </w:rPr>
              <w:t>战略概述</w:t>
            </w:r>
          </w:p>
          <w:p w:rsidR="00AA7D31" w:rsidRPr="00C40E1D" w:rsidRDefault="00AA7D31"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公司的战略核心是品牌+平台，构建4S体系。</w:t>
            </w:r>
          </w:p>
          <w:p w:rsidR="00AA7D31" w:rsidRPr="00C40E1D" w:rsidRDefault="00ED6DD2"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w:t>
            </w:r>
            <w:r w:rsidR="00AE7D73" w:rsidRPr="00C40E1D">
              <w:rPr>
                <w:rFonts w:asciiTheme="minorEastAsia" w:eastAsiaTheme="minorEastAsia" w:hAnsiTheme="minorEastAsia" w:cs="宋体" w:hint="eastAsia"/>
                <w:sz w:val="24"/>
                <w:szCs w:val="24"/>
              </w:rPr>
              <w:t>三</w:t>
            </w:r>
            <w:r w:rsidRPr="00C40E1D">
              <w:rPr>
                <w:rFonts w:asciiTheme="minorEastAsia" w:eastAsiaTheme="minorEastAsia" w:hAnsiTheme="minorEastAsia" w:cs="宋体" w:hint="eastAsia"/>
                <w:sz w:val="24"/>
                <w:szCs w:val="24"/>
              </w:rPr>
              <w:t>）</w:t>
            </w:r>
            <w:r w:rsidR="00AE7D73" w:rsidRPr="00C40E1D">
              <w:rPr>
                <w:rFonts w:asciiTheme="minorEastAsia" w:eastAsiaTheme="minorEastAsia" w:hAnsiTheme="minorEastAsia" w:cs="宋体" w:hint="eastAsia"/>
                <w:sz w:val="24"/>
                <w:szCs w:val="24"/>
              </w:rPr>
              <w:t>经营情况</w:t>
            </w:r>
          </w:p>
          <w:p w:rsidR="00FC4793" w:rsidRPr="00C40E1D" w:rsidRDefault="00FC4793"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本</w:t>
            </w:r>
            <w:r w:rsidR="00AA7D31" w:rsidRPr="00C40E1D">
              <w:rPr>
                <w:rFonts w:asciiTheme="minorEastAsia" w:eastAsiaTheme="minorEastAsia" w:hAnsiTheme="minorEastAsia" w:cs="宋体" w:hint="eastAsia"/>
                <w:sz w:val="24"/>
                <w:szCs w:val="24"/>
              </w:rPr>
              <w:t>报告期1至9月份，公司实现营收5.59亿</w:t>
            </w:r>
            <w:r w:rsidR="00A054E5">
              <w:rPr>
                <w:rFonts w:asciiTheme="minorEastAsia" w:eastAsiaTheme="minorEastAsia" w:hAnsiTheme="minorEastAsia" w:cs="宋体" w:hint="eastAsia"/>
                <w:sz w:val="24"/>
                <w:szCs w:val="24"/>
              </w:rPr>
              <w:t>元</w:t>
            </w:r>
            <w:r w:rsidR="00AA7D31" w:rsidRPr="00C40E1D">
              <w:rPr>
                <w:rFonts w:asciiTheme="minorEastAsia" w:eastAsiaTheme="minorEastAsia" w:hAnsiTheme="minorEastAsia" w:cs="宋体" w:hint="eastAsia"/>
                <w:sz w:val="24"/>
                <w:szCs w:val="24"/>
              </w:rPr>
              <w:t>，比上年同期增长56.36%</w:t>
            </w:r>
            <w:r w:rsidRPr="00C40E1D">
              <w:rPr>
                <w:rFonts w:asciiTheme="minorEastAsia" w:eastAsiaTheme="minorEastAsia" w:hAnsiTheme="minorEastAsia" w:cs="宋体" w:hint="eastAsia"/>
                <w:sz w:val="24"/>
                <w:szCs w:val="24"/>
              </w:rPr>
              <w:t>；</w:t>
            </w:r>
            <w:r w:rsidR="00AA7D31" w:rsidRPr="00C40E1D">
              <w:rPr>
                <w:rFonts w:asciiTheme="minorEastAsia" w:eastAsiaTheme="minorEastAsia" w:hAnsiTheme="minorEastAsia" w:cs="宋体" w:hint="eastAsia"/>
                <w:sz w:val="24"/>
                <w:szCs w:val="24"/>
              </w:rPr>
              <w:t>归属于上市公司股东净利润3.1</w:t>
            </w:r>
            <w:r w:rsidR="00A054E5">
              <w:rPr>
                <w:rFonts w:asciiTheme="minorEastAsia" w:eastAsiaTheme="minorEastAsia" w:hAnsiTheme="minorEastAsia" w:cs="宋体" w:hint="eastAsia"/>
                <w:sz w:val="24"/>
                <w:szCs w:val="24"/>
              </w:rPr>
              <w:t>5</w:t>
            </w:r>
            <w:r w:rsidR="00AA7D31" w:rsidRPr="00C40E1D">
              <w:rPr>
                <w:rFonts w:asciiTheme="minorEastAsia" w:eastAsiaTheme="minorEastAsia" w:hAnsiTheme="minorEastAsia" w:cs="宋体" w:hint="eastAsia"/>
                <w:sz w:val="24"/>
                <w:szCs w:val="24"/>
              </w:rPr>
              <w:t>亿</w:t>
            </w:r>
            <w:r w:rsidR="00A054E5">
              <w:rPr>
                <w:rFonts w:asciiTheme="minorEastAsia" w:eastAsiaTheme="minorEastAsia" w:hAnsiTheme="minorEastAsia" w:cs="宋体" w:hint="eastAsia"/>
                <w:sz w:val="24"/>
                <w:szCs w:val="24"/>
              </w:rPr>
              <w:t>元</w:t>
            </w:r>
            <w:r w:rsidR="00AA7D31" w:rsidRPr="00C40E1D">
              <w:rPr>
                <w:rFonts w:asciiTheme="minorEastAsia" w:eastAsiaTheme="minorEastAsia" w:hAnsiTheme="minorEastAsia" w:cs="宋体" w:hint="eastAsia"/>
                <w:sz w:val="24"/>
                <w:szCs w:val="24"/>
              </w:rPr>
              <w:t>，</w:t>
            </w:r>
            <w:r w:rsidRPr="00C40E1D">
              <w:rPr>
                <w:rFonts w:asciiTheme="minorEastAsia" w:eastAsiaTheme="minorEastAsia" w:hAnsiTheme="minorEastAsia" w:cs="宋体" w:hint="eastAsia"/>
                <w:sz w:val="24"/>
                <w:szCs w:val="24"/>
              </w:rPr>
              <w:t>比上</w:t>
            </w:r>
            <w:r w:rsidR="00AA7D31" w:rsidRPr="00C40E1D">
              <w:rPr>
                <w:rFonts w:asciiTheme="minorEastAsia" w:eastAsiaTheme="minorEastAsia" w:hAnsiTheme="minorEastAsia" w:cs="宋体" w:hint="eastAsia"/>
                <w:sz w:val="24"/>
                <w:szCs w:val="24"/>
              </w:rPr>
              <w:t>年同期</w:t>
            </w:r>
            <w:r w:rsidRPr="00C40E1D">
              <w:rPr>
                <w:rFonts w:asciiTheme="minorEastAsia" w:eastAsiaTheme="minorEastAsia" w:hAnsiTheme="minorEastAsia" w:cs="宋体" w:hint="eastAsia"/>
                <w:sz w:val="24"/>
                <w:szCs w:val="24"/>
              </w:rPr>
              <w:t>增长701.46%；基</w:t>
            </w:r>
            <w:r w:rsidR="00AA7D31" w:rsidRPr="00C40E1D">
              <w:rPr>
                <w:rFonts w:asciiTheme="minorEastAsia" w:eastAsiaTheme="minorEastAsia" w:hAnsiTheme="minorEastAsia" w:cs="宋体" w:hint="eastAsia"/>
                <w:sz w:val="24"/>
                <w:szCs w:val="24"/>
              </w:rPr>
              <w:t>本每股收益0.41元，</w:t>
            </w:r>
            <w:r w:rsidRPr="00C40E1D">
              <w:rPr>
                <w:rFonts w:asciiTheme="minorEastAsia" w:eastAsiaTheme="minorEastAsia" w:hAnsiTheme="minorEastAsia" w:cs="宋体" w:hint="eastAsia"/>
                <w:sz w:val="24"/>
                <w:szCs w:val="24"/>
              </w:rPr>
              <w:t>比上年同</w:t>
            </w:r>
            <w:r w:rsidR="00AA7D31" w:rsidRPr="00C40E1D">
              <w:rPr>
                <w:rFonts w:asciiTheme="minorEastAsia" w:eastAsiaTheme="minorEastAsia" w:hAnsiTheme="minorEastAsia" w:cs="宋体" w:hint="eastAsia"/>
                <w:sz w:val="24"/>
                <w:szCs w:val="24"/>
              </w:rPr>
              <w:t>期增长701.61%</w:t>
            </w:r>
            <w:r w:rsidRPr="00C40E1D">
              <w:rPr>
                <w:rFonts w:asciiTheme="minorEastAsia" w:eastAsiaTheme="minorEastAsia" w:hAnsiTheme="minorEastAsia" w:cs="宋体" w:hint="eastAsia"/>
                <w:sz w:val="24"/>
                <w:szCs w:val="24"/>
              </w:rPr>
              <w:t>；</w:t>
            </w:r>
            <w:r w:rsidR="00AA7D31" w:rsidRPr="00C40E1D">
              <w:rPr>
                <w:rFonts w:asciiTheme="minorEastAsia" w:eastAsiaTheme="minorEastAsia" w:hAnsiTheme="minorEastAsia" w:cs="宋体" w:hint="eastAsia"/>
                <w:sz w:val="24"/>
                <w:szCs w:val="24"/>
              </w:rPr>
              <w:t>加权平均净资产收益率10.84%，</w:t>
            </w:r>
            <w:r w:rsidRPr="00C40E1D">
              <w:rPr>
                <w:rFonts w:asciiTheme="minorEastAsia" w:eastAsiaTheme="minorEastAsia" w:hAnsiTheme="minorEastAsia" w:cs="宋体" w:hint="eastAsia"/>
                <w:sz w:val="24"/>
                <w:szCs w:val="24"/>
              </w:rPr>
              <w:t>比上</w:t>
            </w:r>
            <w:r w:rsidR="00AA7D31" w:rsidRPr="00C40E1D">
              <w:rPr>
                <w:rFonts w:asciiTheme="minorEastAsia" w:eastAsiaTheme="minorEastAsia" w:hAnsiTheme="minorEastAsia" w:cs="宋体" w:hint="eastAsia"/>
                <w:sz w:val="24"/>
                <w:szCs w:val="24"/>
              </w:rPr>
              <w:t>年同期</w:t>
            </w:r>
            <w:r w:rsidRPr="00C40E1D">
              <w:rPr>
                <w:rFonts w:asciiTheme="minorEastAsia" w:eastAsiaTheme="minorEastAsia" w:hAnsiTheme="minorEastAsia" w:cs="宋体" w:hint="eastAsia"/>
                <w:sz w:val="24"/>
                <w:szCs w:val="24"/>
              </w:rPr>
              <w:t>增长12.73%。</w:t>
            </w:r>
          </w:p>
          <w:p w:rsidR="00FC4793" w:rsidRDefault="00FC4793"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本报告期</w:t>
            </w:r>
            <w:r w:rsidR="00AA7D31" w:rsidRPr="00C40E1D">
              <w:rPr>
                <w:rFonts w:asciiTheme="minorEastAsia" w:eastAsiaTheme="minorEastAsia" w:hAnsiTheme="minorEastAsia" w:cs="宋体" w:hint="eastAsia"/>
                <w:sz w:val="24"/>
                <w:szCs w:val="24"/>
              </w:rPr>
              <w:t>前三季度</w:t>
            </w:r>
            <w:r w:rsidRPr="00C40E1D">
              <w:rPr>
                <w:rFonts w:asciiTheme="minorEastAsia" w:eastAsiaTheme="minorEastAsia" w:hAnsiTheme="minorEastAsia" w:cs="宋体" w:hint="eastAsia"/>
                <w:sz w:val="24"/>
                <w:szCs w:val="24"/>
              </w:rPr>
              <w:t>单季度</w:t>
            </w:r>
            <w:r w:rsidR="00A054E5">
              <w:rPr>
                <w:rFonts w:asciiTheme="minorEastAsia" w:eastAsiaTheme="minorEastAsia" w:hAnsiTheme="minorEastAsia" w:cs="宋体" w:hint="eastAsia"/>
                <w:sz w:val="24"/>
                <w:szCs w:val="24"/>
              </w:rPr>
              <w:t>实现归属于母公司净</w:t>
            </w:r>
            <w:r w:rsidR="00AA7D31" w:rsidRPr="00C40E1D">
              <w:rPr>
                <w:rFonts w:asciiTheme="minorEastAsia" w:eastAsiaTheme="minorEastAsia" w:hAnsiTheme="minorEastAsia" w:cs="宋体" w:hint="eastAsia"/>
                <w:sz w:val="24"/>
                <w:szCs w:val="24"/>
              </w:rPr>
              <w:t>利润</w:t>
            </w:r>
            <w:r w:rsidRPr="00C40E1D">
              <w:rPr>
                <w:rFonts w:asciiTheme="minorEastAsia" w:eastAsiaTheme="minorEastAsia" w:hAnsiTheme="minorEastAsia" w:cs="宋体" w:hint="eastAsia"/>
                <w:sz w:val="24"/>
                <w:szCs w:val="24"/>
              </w:rPr>
              <w:t>分别为</w:t>
            </w:r>
            <w:r w:rsidR="00CC2B71" w:rsidRPr="00C40E1D">
              <w:rPr>
                <w:rFonts w:asciiTheme="minorEastAsia" w:eastAsiaTheme="minorEastAsia" w:hAnsiTheme="minorEastAsia" w:cs="宋体" w:hint="eastAsia"/>
                <w:sz w:val="24"/>
                <w:szCs w:val="24"/>
              </w:rPr>
              <w:t>0.41亿元</w:t>
            </w:r>
            <w:r w:rsidRPr="00C40E1D">
              <w:rPr>
                <w:rFonts w:asciiTheme="minorEastAsia" w:eastAsiaTheme="minorEastAsia" w:hAnsiTheme="minorEastAsia" w:cs="宋体" w:hint="eastAsia"/>
                <w:sz w:val="24"/>
                <w:szCs w:val="24"/>
              </w:rPr>
              <w:t>、</w:t>
            </w:r>
            <w:r w:rsidR="00CC2B71" w:rsidRPr="00C40E1D">
              <w:rPr>
                <w:rFonts w:asciiTheme="minorEastAsia" w:eastAsiaTheme="minorEastAsia" w:hAnsiTheme="minorEastAsia" w:cs="宋体" w:hint="eastAsia"/>
                <w:sz w:val="24"/>
                <w:szCs w:val="24"/>
              </w:rPr>
              <w:t>0.19亿元</w:t>
            </w:r>
            <w:r w:rsidRPr="00C40E1D">
              <w:rPr>
                <w:rFonts w:asciiTheme="minorEastAsia" w:eastAsiaTheme="minorEastAsia" w:hAnsiTheme="minorEastAsia" w:cs="宋体" w:hint="eastAsia"/>
                <w:sz w:val="24"/>
                <w:szCs w:val="24"/>
              </w:rPr>
              <w:t>、2</w:t>
            </w:r>
            <w:r w:rsidR="00CC2B71" w:rsidRPr="00C40E1D">
              <w:rPr>
                <w:rFonts w:asciiTheme="minorEastAsia" w:eastAsiaTheme="minorEastAsia" w:hAnsiTheme="minorEastAsia" w:cs="宋体" w:hint="eastAsia"/>
                <w:sz w:val="24"/>
                <w:szCs w:val="24"/>
              </w:rPr>
              <w:t>.</w:t>
            </w:r>
            <w:r w:rsidRPr="00C40E1D">
              <w:rPr>
                <w:rFonts w:asciiTheme="minorEastAsia" w:eastAsiaTheme="minorEastAsia" w:hAnsiTheme="minorEastAsia" w:cs="宋体" w:hint="eastAsia"/>
                <w:sz w:val="24"/>
                <w:szCs w:val="24"/>
              </w:rPr>
              <w:t>5</w:t>
            </w:r>
            <w:r w:rsidR="00CC2B71" w:rsidRPr="00C40E1D">
              <w:rPr>
                <w:rFonts w:asciiTheme="minorEastAsia" w:eastAsiaTheme="minorEastAsia" w:hAnsiTheme="minorEastAsia" w:cs="宋体" w:hint="eastAsia"/>
                <w:sz w:val="24"/>
                <w:szCs w:val="24"/>
              </w:rPr>
              <w:t>5亿</w:t>
            </w:r>
            <w:r w:rsidRPr="00C40E1D">
              <w:rPr>
                <w:rFonts w:asciiTheme="minorEastAsia" w:eastAsiaTheme="minorEastAsia" w:hAnsiTheme="minorEastAsia" w:cs="宋体" w:hint="eastAsia"/>
                <w:sz w:val="24"/>
                <w:szCs w:val="24"/>
              </w:rPr>
              <w:t>元。第三季度</w:t>
            </w:r>
            <w:r w:rsidR="00AA7D31" w:rsidRPr="00C40E1D">
              <w:rPr>
                <w:rFonts w:asciiTheme="minorEastAsia" w:eastAsiaTheme="minorEastAsia" w:hAnsiTheme="minorEastAsia" w:cs="宋体" w:hint="eastAsia"/>
                <w:sz w:val="24"/>
                <w:szCs w:val="24"/>
              </w:rPr>
              <w:t>爆发式</w:t>
            </w:r>
            <w:r w:rsidRPr="00C40E1D">
              <w:rPr>
                <w:rFonts w:asciiTheme="minorEastAsia" w:eastAsiaTheme="minorEastAsia" w:hAnsiTheme="minorEastAsia" w:cs="宋体" w:hint="eastAsia"/>
                <w:sz w:val="24"/>
                <w:szCs w:val="24"/>
              </w:rPr>
              <w:t>增长，</w:t>
            </w:r>
            <w:r w:rsidR="00AA7D31" w:rsidRPr="00C40E1D">
              <w:rPr>
                <w:rFonts w:asciiTheme="minorEastAsia" w:eastAsiaTheme="minorEastAsia" w:hAnsiTheme="minorEastAsia" w:cs="宋体" w:hint="eastAsia"/>
                <w:sz w:val="24"/>
                <w:szCs w:val="24"/>
              </w:rPr>
              <w:t>渠</w:t>
            </w:r>
            <w:r w:rsidR="00AA7D31" w:rsidRPr="00C40E1D">
              <w:rPr>
                <w:rFonts w:asciiTheme="minorEastAsia" w:eastAsiaTheme="minorEastAsia" w:hAnsiTheme="minorEastAsia" w:cs="宋体" w:hint="eastAsia"/>
                <w:sz w:val="24"/>
                <w:szCs w:val="24"/>
              </w:rPr>
              <w:lastRenderedPageBreak/>
              <w:t>道作用开始</w:t>
            </w:r>
            <w:r w:rsidRPr="00C40E1D">
              <w:rPr>
                <w:rFonts w:asciiTheme="minorEastAsia" w:eastAsiaTheme="minorEastAsia" w:hAnsiTheme="minorEastAsia" w:cs="宋体" w:hint="eastAsia"/>
                <w:sz w:val="24"/>
                <w:szCs w:val="24"/>
              </w:rPr>
              <w:t>显现。</w:t>
            </w:r>
          </w:p>
          <w:p w:rsidR="00886D15" w:rsidRPr="00C40E1D" w:rsidRDefault="00886D15"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本报告期前三季度期间费用中，销售费用比上年同期大幅减少，主要是本报告期公司市场开拓费用减少及上年同期包含传统制造业相关费用所致。</w:t>
            </w:r>
          </w:p>
          <w:p w:rsidR="00ED6DD2" w:rsidRPr="00C40E1D" w:rsidRDefault="00ED6DD2"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（四）分项业务介绍</w:t>
            </w:r>
          </w:p>
          <w:p w:rsidR="00CC2B71" w:rsidRPr="00C40E1D" w:rsidRDefault="00CC2B71"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本报告期，</w:t>
            </w:r>
            <w:r w:rsidR="00FC4793" w:rsidRPr="00C40E1D">
              <w:rPr>
                <w:rFonts w:asciiTheme="minorEastAsia" w:eastAsiaTheme="minorEastAsia" w:hAnsiTheme="minorEastAsia" w:cs="宋体" w:hint="eastAsia"/>
                <w:sz w:val="24"/>
                <w:szCs w:val="24"/>
              </w:rPr>
              <w:t>人力资本、顾问咨询、企业综合服务、其他业务的营业收入分别</w:t>
            </w:r>
            <w:r w:rsidRPr="00C40E1D">
              <w:rPr>
                <w:rFonts w:asciiTheme="minorEastAsia" w:eastAsiaTheme="minorEastAsia" w:hAnsiTheme="minorEastAsia" w:cs="宋体" w:hint="eastAsia"/>
                <w:sz w:val="24"/>
                <w:szCs w:val="24"/>
              </w:rPr>
              <w:t>实现2.43亿元、0.49亿元、2.63亿元、0.05亿元，分别</w:t>
            </w:r>
            <w:r w:rsidR="00FC4793" w:rsidRPr="00C40E1D">
              <w:rPr>
                <w:rFonts w:asciiTheme="minorEastAsia" w:eastAsiaTheme="minorEastAsia" w:hAnsiTheme="minorEastAsia" w:cs="宋体" w:hint="eastAsia"/>
                <w:sz w:val="24"/>
                <w:szCs w:val="24"/>
              </w:rPr>
              <w:t>比上年同期</w:t>
            </w:r>
            <w:r w:rsidRPr="00C40E1D">
              <w:rPr>
                <w:rFonts w:asciiTheme="minorEastAsia" w:eastAsiaTheme="minorEastAsia" w:hAnsiTheme="minorEastAsia" w:cs="宋体" w:hint="eastAsia"/>
                <w:sz w:val="24"/>
                <w:szCs w:val="24"/>
              </w:rPr>
              <w:t>增长</w:t>
            </w:r>
            <w:r w:rsidR="00FC4793" w:rsidRPr="00C40E1D">
              <w:rPr>
                <w:rFonts w:asciiTheme="minorEastAsia" w:eastAsiaTheme="minorEastAsia" w:hAnsiTheme="minorEastAsia" w:cs="宋体" w:hint="eastAsia"/>
                <w:sz w:val="24"/>
                <w:szCs w:val="24"/>
              </w:rPr>
              <w:t>4953.34%</w:t>
            </w:r>
            <w:r w:rsidRPr="00C40E1D">
              <w:rPr>
                <w:rFonts w:asciiTheme="minorEastAsia" w:eastAsiaTheme="minorEastAsia" w:hAnsiTheme="minorEastAsia" w:cs="宋体" w:hint="eastAsia"/>
                <w:sz w:val="24"/>
                <w:szCs w:val="24"/>
              </w:rPr>
              <w:t>、3.89%、86.53%、61.17%</w:t>
            </w:r>
            <w:r w:rsidR="00AA7D31" w:rsidRPr="00C40E1D">
              <w:rPr>
                <w:rFonts w:asciiTheme="minorEastAsia" w:eastAsiaTheme="minorEastAsia" w:hAnsiTheme="minorEastAsia" w:cs="宋体" w:hint="eastAsia"/>
                <w:sz w:val="24"/>
                <w:szCs w:val="24"/>
              </w:rPr>
              <w:t>。</w:t>
            </w:r>
            <w:r w:rsidR="00CE148F">
              <w:rPr>
                <w:rFonts w:asciiTheme="minorEastAsia" w:eastAsiaTheme="minorEastAsia" w:hAnsiTheme="minorEastAsia" w:cs="宋体" w:hint="eastAsia"/>
                <w:sz w:val="24"/>
                <w:szCs w:val="24"/>
              </w:rPr>
              <w:t>从</w:t>
            </w:r>
            <w:r w:rsidRPr="00C40E1D">
              <w:rPr>
                <w:rFonts w:asciiTheme="minorEastAsia" w:eastAsiaTheme="minorEastAsia" w:hAnsiTheme="minorEastAsia" w:cs="宋体" w:hint="eastAsia"/>
                <w:sz w:val="24"/>
                <w:szCs w:val="24"/>
              </w:rPr>
              <w:t>同比</w:t>
            </w:r>
            <w:r w:rsidR="00CE148F">
              <w:rPr>
                <w:rFonts w:asciiTheme="minorEastAsia" w:eastAsiaTheme="minorEastAsia" w:hAnsiTheme="minorEastAsia" w:cs="宋体" w:hint="eastAsia"/>
                <w:sz w:val="24"/>
                <w:szCs w:val="24"/>
              </w:rPr>
              <w:t>情况</w:t>
            </w:r>
            <w:r w:rsidRPr="00C40E1D">
              <w:rPr>
                <w:rFonts w:asciiTheme="minorEastAsia" w:eastAsiaTheme="minorEastAsia" w:hAnsiTheme="minorEastAsia" w:cs="宋体" w:hint="eastAsia"/>
                <w:sz w:val="24"/>
                <w:szCs w:val="24"/>
              </w:rPr>
              <w:t>来</w:t>
            </w:r>
            <w:r w:rsidR="00CE148F">
              <w:rPr>
                <w:rFonts w:asciiTheme="minorEastAsia" w:eastAsiaTheme="minorEastAsia" w:hAnsiTheme="minorEastAsia" w:cs="宋体" w:hint="eastAsia"/>
                <w:sz w:val="24"/>
                <w:szCs w:val="24"/>
              </w:rPr>
              <w:t>看</w:t>
            </w:r>
            <w:r w:rsidRPr="00C40E1D">
              <w:rPr>
                <w:rFonts w:asciiTheme="minorEastAsia" w:eastAsiaTheme="minorEastAsia" w:hAnsiTheme="minorEastAsia" w:cs="宋体" w:hint="eastAsia"/>
                <w:sz w:val="24"/>
                <w:szCs w:val="24"/>
              </w:rPr>
              <w:t>，企业综合服务占比下降，公司增值业务开始发力，百城千店协同效应显现。</w:t>
            </w:r>
          </w:p>
          <w:p w:rsidR="00AA7D31" w:rsidRPr="00C40E1D" w:rsidRDefault="00FC4793"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人力资本业务是</w:t>
            </w:r>
            <w:r w:rsidR="00AA7D31" w:rsidRPr="00C40E1D">
              <w:rPr>
                <w:rFonts w:asciiTheme="minorEastAsia" w:eastAsiaTheme="minorEastAsia" w:hAnsiTheme="minorEastAsia" w:cs="宋体" w:hint="eastAsia"/>
                <w:sz w:val="24"/>
                <w:szCs w:val="24"/>
              </w:rPr>
              <w:t>通过人事外包、灵活用工的解决方案，助力企业降低成本</w:t>
            </w:r>
            <w:r w:rsidR="00CC2B71" w:rsidRPr="00C40E1D">
              <w:rPr>
                <w:rFonts w:asciiTheme="minorEastAsia" w:eastAsiaTheme="minorEastAsia" w:hAnsiTheme="minorEastAsia" w:cs="宋体" w:hint="eastAsia"/>
                <w:sz w:val="24"/>
                <w:szCs w:val="24"/>
              </w:rPr>
              <w:t>。人力资本业务由灵活用工、人事外包、其他业务组成，占比分别为</w:t>
            </w:r>
            <w:r w:rsidR="00AA7D31" w:rsidRPr="00C40E1D">
              <w:rPr>
                <w:rFonts w:asciiTheme="minorEastAsia" w:eastAsiaTheme="minorEastAsia" w:hAnsiTheme="minorEastAsia" w:cs="宋体" w:hint="eastAsia"/>
                <w:sz w:val="24"/>
                <w:szCs w:val="24"/>
              </w:rPr>
              <w:t>65%</w:t>
            </w:r>
            <w:r w:rsidR="00CC2B71" w:rsidRPr="00C40E1D">
              <w:rPr>
                <w:rFonts w:asciiTheme="minorEastAsia" w:eastAsiaTheme="minorEastAsia" w:hAnsiTheme="minorEastAsia" w:cs="宋体" w:hint="eastAsia"/>
                <w:sz w:val="24"/>
                <w:szCs w:val="24"/>
              </w:rPr>
              <w:t>、30%、5%。</w:t>
            </w:r>
          </w:p>
          <w:p w:rsidR="00D311D2" w:rsidRPr="00C40E1D" w:rsidRDefault="00D311D2"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C40E1D">
              <w:rPr>
                <w:rFonts w:asciiTheme="minorEastAsia" w:eastAsiaTheme="minorEastAsia" w:hAnsiTheme="minorEastAsia" w:cs="宋体" w:hint="eastAsia"/>
                <w:sz w:val="24"/>
                <w:szCs w:val="24"/>
              </w:rPr>
              <w:t>顾问咨询业务为企业提供高端财税服务及股权架构搭建等，同时承担对外政府合作落地服务。</w:t>
            </w:r>
          </w:p>
          <w:p w:rsidR="004549BD" w:rsidRPr="00543005" w:rsidRDefault="004549BD" w:rsidP="00476FE8">
            <w:pPr>
              <w:pStyle w:val="aa"/>
              <w:adjustRightInd w:val="0"/>
              <w:snapToGrid w:val="0"/>
              <w:spacing w:beforeLines="50" w:afterLines="50" w:line="360" w:lineRule="auto"/>
              <w:rPr>
                <w:rFonts w:asciiTheme="minorEastAsia" w:eastAsiaTheme="minorEastAsia" w:hAnsiTheme="minorEastAsia"/>
                <w:b/>
                <w:bCs/>
                <w:sz w:val="24"/>
                <w:szCs w:val="24"/>
              </w:rPr>
            </w:pPr>
            <w:r w:rsidRPr="00543005">
              <w:rPr>
                <w:rFonts w:asciiTheme="minorEastAsia" w:eastAsiaTheme="minorEastAsia" w:hAnsiTheme="minorEastAsia" w:hint="eastAsia"/>
                <w:b/>
                <w:bCs/>
                <w:sz w:val="24"/>
                <w:szCs w:val="24"/>
              </w:rPr>
              <w:t>三、企业大数据平台介绍</w:t>
            </w:r>
          </w:p>
          <w:p w:rsidR="004549BD" w:rsidRPr="00543005" w:rsidRDefault="004549BD" w:rsidP="00476FE8">
            <w:pPr>
              <w:adjustRightInd w:val="0"/>
              <w:snapToGrid w:val="0"/>
              <w:spacing w:beforeLines="50" w:afterLines="50" w:line="360" w:lineRule="auto"/>
              <w:ind w:firstLineChars="213" w:firstLine="513"/>
              <w:rPr>
                <w:rFonts w:asciiTheme="minorEastAsia" w:eastAsiaTheme="minorEastAsia" w:hAnsiTheme="minorEastAsia"/>
                <w:b/>
                <w:bCs/>
                <w:sz w:val="24"/>
              </w:rPr>
            </w:pPr>
            <w:r w:rsidRPr="00543005">
              <w:rPr>
                <w:rFonts w:asciiTheme="minorEastAsia" w:eastAsiaTheme="minorEastAsia" w:hAnsiTheme="minorEastAsia" w:hint="eastAsia"/>
                <w:b/>
                <w:bCs/>
                <w:sz w:val="24"/>
              </w:rPr>
              <w:t>主讲人：</w:t>
            </w:r>
            <w:r w:rsidR="00C52FF8">
              <w:rPr>
                <w:rFonts w:asciiTheme="minorEastAsia" w:eastAsiaTheme="minorEastAsia" w:hAnsiTheme="minorEastAsia" w:hint="eastAsia"/>
                <w:b/>
                <w:bCs/>
                <w:sz w:val="24"/>
              </w:rPr>
              <w:t>研发中心</w:t>
            </w:r>
            <w:r w:rsidRPr="00543005">
              <w:rPr>
                <w:rFonts w:asciiTheme="minorEastAsia" w:eastAsiaTheme="minorEastAsia" w:hAnsiTheme="minorEastAsia" w:hint="eastAsia"/>
                <w:b/>
                <w:bCs/>
                <w:sz w:val="24"/>
              </w:rPr>
              <w:t>季中国</w:t>
            </w:r>
          </w:p>
          <w:p w:rsidR="00AE7D73" w:rsidRPr="00C40E1D" w:rsidRDefault="00AA7D31" w:rsidP="00476FE8">
            <w:pPr>
              <w:adjustRightInd w:val="0"/>
              <w:snapToGrid w:val="0"/>
              <w:spacing w:beforeLines="50" w:afterLines="50" w:line="360" w:lineRule="auto"/>
              <w:ind w:firstLineChars="213" w:firstLine="511"/>
              <w:rPr>
                <w:rFonts w:asciiTheme="minorEastAsia" w:eastAsiaTheme="minorEastAsia" w:hAnsiTheme="minorEastAsia"/>
                <w:bCs/>
                <w:sz w:val="24"/>
              </w:rPr>
            </w:pPr>
            <w:r w:rsidRPr="00C40E1D">
              <w:rPr>
                <w:rFonts w:asciiTheme="minorEastAsia" w:eastAsiaTheme="minorEastAsia" w:hAnsiTheme="minorEastAsia" w:hint="eastAsia"/>
                <w:bCs/>
                <w:sz w:val="24"/>
              </w:rPr>
              <w:t>企业大数据平台的介绍主要分为了三个部分，第一部分介绍了顺利办企业大数据平台的整体架构。第二部分详细介绍了管家云和服务云的系统建设情况以及系统的应用效果。第三部分介绍了后续大数据平台的研发方向以及预计的应用效果。</w:t>
            </w:r>
          </w:p>
          <w:p w:rsidR="004549BD" w:rsidRPr="00543005" w:rsidRDefault="004549BD" w:rsidP="00476FE8">
            <w:pPr>
              <w:adjustRightInd w:val="0"/>
              <w:snapToGrid w:val="0"/>
              <w:spacing w:beforeLines="50" w:afterLines="50" w:line="360" w:lineRule="auto"/>
              <w:rPr>
                <w:rFonts w:asciiTheme="minorEastAsia" w:eastAsiaTheme="minorEastAsia" w:hAnsiTheme="minorEastAsia"/>
                <w:b/>
                <w:bCs/>
                <w:sz w:val="24"/>
              </w:rPr>
            </w:pPr>
            <w:r w:rsidRPr="00543005">
              <w:rPr>
                <w:rFonts w:asciiTheme="minorEastAsia" w:eastAsiaTheme="minorEastAsia" w:hAnsiTheme="minorEastAsia" w:hint="eastAsia"/>
                <w:b/>
                <w:bCs/>
                <w:sz w:val="24"/>
              </w:rPr>
              <w:t>四、问答环节</w:t>
            </w:r>
          </w:p>
          <w:p w:rsidR="0012408E" w:rsidRPr="00543005" w:rsidRDefault="00343D81" w:rsidP="00476FE8">
            <w:pPr>
              <w:adjustRightInd w:val="0"/>
              <w:snapToGrid w:val="0"/>
              <w:spacing w:beforeLines="50" w:afterLines="50" w:line="360" w:lineRule="auto"/>
              <w:ind w:firstLineChars="213" w:firstLine="513"/>
              <w:rPr>
                <w:rFonts w:asciiTheme="minorEastAsia" w:eastAsiaTheme="minorEastAsia" w:hAnsiTheme="minorEastAsia"/>
                <w:b/>
                <w:bCs/>
                <w:sz w:val="24"/>
              </w:rPr>
            </w:pPr>
            <w:r w:rsidRPr="00543005">
              <w:rPr>
                <w:rFonts w:asciiTheme="minorEastAsia" w:eastAsiaTheme="minorEastAsia" w:hAnsiTheme="minorEastAsia" w:hint="eastAsia"/>
                <w:b/>
                <w:bCs/>
                <w:sz w:val="24"/>
              </w:rPr>
              <w:t>1</w:t>
            </w:r>
            <w:r w:rsidR="00AE7D73" w:rsidRPr="00543005">
              <w:rPr>
                <w:rFonts w:asciiTheme="minorEastAsia" w:eastAsiaTheme="minorEastAsia" w:hAnsiTheme="minorEastAsia" w:hint="eastAsia"/>
                <w:b/>
                <w:bCs/>
                <w:sz w:val="24"/>
              </w:rPr>
              <w:t>、公司2018年业绩目标</w:t>
            </w:r>
            <w:r w:rsidR="00543005">
              <w:rPr>
                <w:rFonts w:asciiTheme="minorEastAsia" w:eastAsiaTheme="minorEastAsia" w:hAnsiTheme="minorEastAsia" w:hint="eastAsia"/>
                <w:b/>
                <w:bCs/>
                <w:sz w:val="24"/>
              </w:rPr>
              <w:t>。</w:t>
            </w:r>
          </w:p>
          <w:p w:rsidR="0012408E" w:rsidRPr="00C40E1D" w:rsidRDefault="00476FE8" w:rsidP="00476FE8">
            <w:pPr>
              <w:adjustRightInd w:val="0"/>
              <w:snapToGrid w:val="0"/>
              <w:spacing w:beforeLines="50" w:afterLines="50" w:line="360" w:lineRule="auto"/>
              <w:ind w:firstLineChars="213" w:firstLine="511"/>
              <w:rPr>
                <w:rFonts w:asciiTheme="minorEastAsia" w:eastAsiaTheme="minorEastAsia" w:hAnsiTheme="minorEastAsia"/>
                <w:sz w:val="24"/>
              </w:rPr>
            </w:pPr>
            <w:r w:rsidRPr="00476FE8">
              <w:rPr>
                <w:rFonts w:asciiTheme="minorEastAsia" w:eastAsiaTheme="minorEastAsia" w:hAnsiTheme="minorEastAsia" w:hint="eastAsia"/>
                <w:sz w:val="24"/>
              </w:rPr>
              <w:t>2018年公司的营收目标是8-10亿元，净利润4.1-4.7亿元</w:t>
            </w:r>
            <w:r w:rsidR="00AE7D73" w:rsidRPr="00C40E1D">
              <w:rPr>
                <w:rFonts w:asciiTheme="minorEastAsia" w:eastAsiaTheme="minorEastAsia" w:hAnsiTheme="minorEastAsia" w:hint="eastAsia"/>
                <w:sz w:val="24"/>
              </w:rPr>
              <w:t>。</w:t>
            </w:r>
          </w:p>
          <w:p w:rsidR="00AE7D73" w:rsidRPr="00543005" w:rsidRDefault="00343D81" w:rsidP="00476FE8">
            <w:pPr>
              <w:pStyle w:val="aa"/>
              <w:adjustRightInd w:val="0"/>
              <w:snapToGrid w:val="0"/>
              <w:spacing w:beforeLines="50" w:afterLines="50" w:line="360" w:lineRule="auto"/>
              <w:ind w:firstLineChars="213" w:firstLine="513"/>
              <w:rPr>
                <w:rFonts w:asciiTheme="minorEastAsia" w:eastAsiaTheme="minorEastAsia" w:hAnsiTheme="minorEastAsia" w:cs="宋体"/>
                <w:b/>
                <w:sz w:val="24"/>
                <w:szCs w:val="24"/>
              </w:rPr>
            </w:pPr>
            <w:r w:rsidRPr="00543005">
              <w:rPr>
                <w:rFonts w:asciiTheme="minorEastAsia" w:eastAsiaTheme="minorEastAsia" w:hAnsiTheme="minorEastAsia" w:cs="宋体" w:hint="eastAsia"/>
                <w:b/>
                <w:sz w:val="24"/>
                <w:szCs w:val="24"/>
              </w:rPr>
              <w:lastRenderedPageBreak/>
              <w:t>2</w:t>
            </w:r>
            <w:r w:rsidR="00385F40" w:rsidRPr="00543005">
              <w:rPr>
                <w:rFonts w:asciiTheme="minorEastAsia" w:eastAsiaTheme="minorEastAsia" w:hAnsiTheme="minorEastAsia" w:cs="宋体" w:hint="eastAsia"/>
                <w:b/>
                <w:sz w:val="24"/>
                <w:szCs w:val="24"/>
              </w:rPr>
              <w:t>、董事长所持股份情况</w:t>
            </w:r>
            <w:r w:rsidR="00543005">
              <w:rPr>
                <w:rFonts w:asciiTheme="minorEastAsia" w:eastAsiaTheme="minorEastAsia" w:hAnsiTheme="minorEastAsia" w:cs="宋体" w:hint="eastAsia"/>
                <w:b/>
                <w:sz w:val="24"/>
                <w:szCs w:val="24"/>
              </w:rPr>
              <w:t>。</w:t>
            </w:r>
          </w:p>
          <w:p w:rsidR="00385F40" w:rsidRPr="00C40E1D" w:rsidRDefault="00385F40" w:rsidP="00476FE8">
            <w:pPr>
              <w:pStyle w:val="ab"/>
              <w:shd w:val="clear" w:color="auto" w:fill="FFFFFF"/>
              <w:adjustRightInd w:val="0"/>
              <w:snapToGrid w:val="0"/>
              <w:spacing w:beforeLines="50" w:beforeAutospacing="0" w:afterLines="50" w:afterAutospacing="0" w:line="360" w:lineRule="auto"/>
              <w:ind w:firstLineChars="213" w:firstLine="511"/>
              <w:rPr>
                <w:rFonts w:asciiTheme="minorEastAsia" w:eastAsiaTheme="minorEastAsia" w:hAnsiTheme="minorEastAsia"/>
                <w:color w:val="000000" w:themeColor="text1"/>
              </w:rPr>
            </w:pPr>
            <w:r w:rsidRPr="00C40E1D">
              <w:rPr>
                <w:rFonts w:asciiTheme="minorEastAsia" w:eastAsiaTheme="minorEastAsia" w:hAnsiTheme="minorEastAsia" w:hint="eastAsia"/>
                <w:color w:val="000000" w:themeColor="text1"/>
              </w:rPr>
              <w:t>2018年7月，董事长及其所控股的百达永信投资有限公司所持的7400多万股解除限售并上市流通。</w:t>
            </w:r>
          </w:p>
          <w:p w:rsidR="00385F40" w:rsidRPr="00C40E1D" w:rsidRDefault="00385F40" w:rsidP="00476FE8">
            <w:pPr>
              <w:pStyle w:val="ab"/>
              <w:shd w:val="clear" w:color="auto" w:fill="FFFFFF"/>
              <w:adjustRightInd w:val="0"/>
              <w:snapToGrid w:val="0"/>
              <w:spacing w:beforeLines="50" w:beforeAutospacing="0" w:afterLines="50" w:afterAutospacing="0" w:line="360" w:lineRule="auto"/>
              <w:ind w:firstLineChars="213" w:firstLine="511"/>
              <w:rPr>
                <w:rFonts w:asciiTheme="minorEastAsia" w:eastAsiaTheme="minorEastAsia" w:hAnsiTheme="minorEastAsia"/>
              </w:rPr>
            </w:pPr>
            <w:r w:rsidRPr="00C40E1D">
              <w:rPr>
                <w:rFonts w:asciiTheme="minorEastAsia" w:eastAsiaTheme="minorEastAsia" w:hAnsiTheme="minorEastAsia" w:hint="eastAsia"/>
                <w:color w:val="000000" w:themeColor="text1"/>
              </w:rPr>
              <w:t>董事长及其控股的百达永信投资有限公司7月初出具承诺，</w:t>
            </w:r>
            <w:r w:rsidRPr="00C40E1D">
              <w:rPr>
                <w:rFonts w:asciiTheme="minorEastAsia" w:eastAsiaTheme="minorEastAsia" w:hAnsiTheme="minorEastAsia" w:cs="Times New Roman" w:hint="eastAsia"/>
              </w:rPr>
              <w:t>自该承诺函出具之日的12个月内不以任何方式减持所持有的公司股份。</w:t>
            </w:r>
          </w:p>
          <w:p w:rsidR="00385F40" w:rsidRPr="00E86E5A" w:rsidRDefault="00385F40" w:rsidP="00476FE8">
            <w:pPr>
              <w:pStyle w:val="aa"/>
              <w:adjustRightInd w:val="0"/>
              <w:snapToGrid w:val="0"/>
              <w:spacing w:beforeLines="50" w:afterLines="50" w:line="360" w:lineRule="auto"/>
              <w:ind w:firstLineChars="213" w:firstLine="513"/>
              <w:rPr>
                <w:rFonts w:asciiTheme="minorEastAsia" w:eastAsiaTheme="minorEastAsia" w:hAnsiTheme="minorEastAsia" w:cs="宋体"/>
                <w:b/>
                <w:sz w:val="24"/>
                <w:szCs w:val="24"/>
              </w:rPr>
            </w:pPr>
            <w:r w:rsidRPr="00E86E5A">
              <w:rPr>
                <w:rFonts w:asciiTheme="minorEastAsia" w:eastAsiaTheme="minorEastAsia" w:hAnsiTheme="minorEastAsia" w:cs="宋体" w:hint="eastAsia"/>
                <w:b/>
                <w:sz w:val="24"/>
                <w:szCs w:val="24"/>
              </w:rPr>
              <w:t>3、第一大股东连良桂所持股份质押情况</w:t>
            </w:r>
            <w:r w:rsidR="00543005" w:rsidRPr="00E86E5A">
              <w:rPr>
                <w:rFonts w:asciiTheme="minorEastAsia" w:eastAsiaTheme="minorEastAsia" w:hAnsiTheme="minorEastAsia" w:cs="宋体" w:hint="eastAsia"/>
                <w:b/>
                <w:sz w:val="24"/>
                <w:szCs w:val="24"/>
              </w:rPr>
              <w:t>。</w:t>
            </w:r>
          </w:p>
          <w:p w:rsidR="00AE7D73" w:rsidRPr="00E86E5A" w:rsidRDefault="000341B6" w:rsidP="00476FE8">
            <w:pPr>
              <w:pStyle w:val="aa"/>
              <w:adjustRightInd w:val="0"/>
              <w:snapToGrid w:val="0"/>
              <w:spacing w:beforeLines="50" w:afterLines="50" w:line="360" w:lineRule="auto"/>
              <w:ind w:firstLineChars="213" w:firstLine="511"/>
              <w:rPr>
                <w:rFonts w:asciiTheme="minorEastAsia" w:eastAsiaTheme="minorEastAsia" w:hAnsiTheme="minorEastAsia" w:cs="宋体"/>
                <w:sz w:val="24"/>
                <w:szCs w:val="24"/>
              </w:rPr>
            </w:pPr>
            <w:r w:rsidRPr="00E86E5A">
              <w:rPr>
                <w:rFonts w:asciiTheme="minorEastAsia" w:eastAsiaTheme="minorEastAsia" w:hAnsiTheme="minorEastAsia" w:cs="宋体" w:hint="eastAsia"/>
                <w:sz w:val="24"/>
                <w:szCs w:val="24"/>
              </w:rPr>
              <w:t>连良桂关联公司从金融机构获取借款，由其关联公司提供连带责任担保，并由连良桂提供股权质押作为增信措施。因此，作为融资补充担保物，连良桂在办理股权质押时，并未约定质押股权的平仓线，若公司股价受二级市场不稳定因素影响进一步下跌时，亦不触及质押平仓风险。</w:t>
            </w:r>
          </w:p>
          <w:p w:rsidR="00E86E5A" w:rsidRPr="004D340B" w:rsidRDefault="00E86E5A" w:rsidP="00476FE8">
            <w:pPr>
              <w:pStyle w:val="aa"/>
              <w:adjustRightInd w:val="0"/>
              <w:snapToGrid w:val="0"/>
              <w:spacing w:beforeLines="50" w:afterLines="50" w:line="360" w:lineRule="auto"/>
              <w:ind w:firstLineChars="213" w:firstLine="513"/>
              <w:rPr>
                <w:rFonts w:asciiTheme="minorEastAsia" w:eastAsiaTheme="minorEastAsia" w:hAnsiTheme="minorEastAsia"/>
                <w:b/>
                <w:sz w:val="24"/>
              </w:rPr>
            </w:pPr>
            <w:r w:rsidRPr="004D340B">
              <w:rPr>
                <w:rFonts w:asciiTheme="minorEastAsia" w:eastAsiaTheme="minorEastAsia" w:hAnsiTheme="minorEastAsia" w:hint="eastAsia"/>
                <w:b/>
                <w:sz w:val="24"/>
              </w:rPr>
              <w:t>4、主营业务中细分业务的发展。</w:t>
            </w:r>
          </w:p>
          <w:p w:rsidR="00E86E5A" w:rsidRPr="00E86E5A" w:rsidRDefault="00E86E5A" w:rsidP="00476FE8">
            <w:pPr>
              <w:pStyle w:val="aa"/>
              <w:adjustRightInd w:val="0"/>
              <w:snapToGrid w:val="0"/>
              <w:spacing w:beforeLines="50" w:afterLines="50" w:line="360" w:lineRule="auto"/>
              <w:ind w:firstLineChars="213" w:firstLine="511"/>
              <w:rPr>
                <w:rFonts w:asciiTheme="minorEastAsia" w:eastAsiaTheme="minorEastAsia" w:hAnsiTheme="minorEastAsia"/>
                <w:sz w:val="24"/>
              </w:rPr>
            </w:pPr>
            <w:r w:rsidRPr="00E86E5A">
              <w:rPr>
                <w:rFonts w:asciiTheme="minorEastAsia" w:eastAsiaTheme="minorEastAsia" w:hAnsiTheme="minorEastAsia" w:hint="eastAsia"/>
                <w:sz w:val="24"/>
              </w:rPr>
              <w:t>目前集中精力做好4S中的人力资本和顾问咨询业务，并把每一项业务推到一个良性循环的</w:t>
            </w:r>
            <w:r w:rsidR="00E67B0C">
              <w:rPr>
                <w:rFonts w:asciiTheme="minorEastAsia" w:eastAsiaTheme="minorEastAsia" w:hAnsiTheme="minorEastAsia" w:hint="eastAsia"/>
                <w:sz w:val="24"/>
              </w:rPr>
              <w:t>发展</w:t>
            </w:r>
            <w:r w:rsidRPr="00E86E5A">
              <w:rPr>
                <w:rFonts w:asciiTheme="minorEastAsia" w:eastAsiaTheme="minorEastAsia" w:hAnsiTheme="minorEastAsia" w:hint="eastAsia"/>
                <w:sz w:val="24"/>
              </w:rPr>
              <w:t>维度，同时，围绕公司战略核心</w:t>
            </w:r>
            <w:r w:rsidR="00E67B0C">
              <w:rPr>
                <w:rFonts w:asciiTheme="minorEastAsia" w:eastAsiaTheme="minorEastAsia" w:hAnsiTheme="minorEastAsia" w:hint="eastAsia"/>
                <w:sz w:val="24"/>
              </w:rPr>
              <w:t>推进</w:t>
            </w:r>
            <w:r w:rsidRPr="00E86E5A">
              <w:rPr>
                <w:rFonts w:asciiTheme="minorEastAsia" w:eastAsiaTheme="minorEastAsia" w:hAnsiTheme="minorEastAsia" w:hint="eastAsia"/>
                <w:sz w:val="24"/>
              </w:rPr>
              <w:t>其他业务。</w:t>
            </w:r>
          </w:p>
          <w:p w:rsidR="00E86E5A" w:rsidRPr="004D340B" w:rsidRDefault="00E86E5A" w:rsidP="004D340B">
            <w:pPr>
              <w:pStyle w:val="aa"/>
              <w:adjustRightInd w:val="0"/>
              <w:snapToGrid w:val="0"/>
              <w:spacing w:before="50" w:after="50" w:line="360" w:lineRule="auto"/>
              <w:ind w:firstLineChars="213" w:firstLine="513"/>
              <w:rPr>
                <w:rFonts w:asciiTheme="minorEastAsia" w:eastAsiaTheme="minorEastAsia" w:hAnsiTheme="minorEastAsia" w:cs="宋体"/>
                <w:b/>
                <w:sz w:val="24"/>
                <w:szCs w:val="24"/>
              </w:rPr>
            </w:pPr>
            <w:r w:rsidRPr="004D340B">
              <w:rPr>
                <w:rFonts w:asciiTheme="minorEastAsia" w:eastAsiaTheme="minorEastAsia" w:hAnsiTheme="minorEastAsia" w:hint="eastAsia"/>
                <w:b/>
                <w:sz w:val="24"/>
              </w:rPr>
              <w:t>5、</w:t>
            </w:r>
            <w:r w:rsidRPr="004D340B">
              <w:rPr>
                <w:rFonts w:ascii="宋体" w:eastAsia="宋体" w:hAnsi="宋体" w:cs="宋体" w:hint="eastAsia"/>
                <w:b/>
                <w:sz w:val="24"/>
                <w:szCs w:val="24"/>
              </w:rPr>
              <w:t>百城千店的</w:t>
            </w:r>
            <w:r w:rsidRPr="004D340B">
              <w:rPr>
                <w:rFonts w:asciiTheme="minorEastAsia" w:eastAsiaTheme="minorEastAsia" w:hAnsiTheme="minorEastAsia" w:cs="宋体" w:hint="eastAsia"/>
                <w:b/>
                <w:sz w:val="24"/>
                <w:szCs w:val="24"/>
              </w:rPr>
              <w:t>协同效应。</w:t>
            </w:r>
          </w:p>
          <w:p w:rsidR="00E86E5A" w:rsidRPr="00E86E5A" w:rsidRDefault="00E86E5A" w:rsidP="004D340B">
            <w:pPr>
              <w:pStyle w:val="aa"/>
              <w:adjustRightInd w:val="0"/>
              <w:snapToGrid w:val="0"/>
              <w:spacing w:before="50" w:after="50" w:line="360" w:lineRule="auto"/>
              <w:ind w:firstLineChars="213" w:firstLine="511"/>
              <w:rPr>
                <w:rFonts w:asciiTheme="minorEastAsia" w:hAnsiTheme="minorEastAsia"/>
                <w:sz w:val="24"/>
              </w:rPr>
            </w:pPr>
            <w:r w:rsidRPr="00E86E5A">
              <w:rPr>
                <w:rFonts w:ascii="宋体" w:eastAsia="宋体" w:hAnsi="宋体" w:cs="宋体" w:hint="eastAsia"/>
                <w:sz w:val="24"/>
                <w:szCs w:val="24"/>
              </w:rPr>
              <w:t>第一阶段是整合阶段，第二赋能阶段</w:t>
            </w:r>
            <w:r w:rsidR="004D340B">
              <w:rPr>
                <w:rFonts w:asciiTheme="minorEastAsia" w:eastAsiaTheme="minorEastAsia" w:hAnsiTheme="minorEastAsia" w:cs="宋体" w:hint="eastAsia"/>
                <w:sz w:val="24"/>
                <w:szCs w:val="24"/>
              </w:rPr>
              <w:t>。这</w:t>
            </w:r>
            <w:r w:rsidRPr="00E86E5A">
              <w:rPr>
                <w:rFonts w:ascii="宋体" w:eastAsia="宋体" w:hAnsi="宋体" w:cs="宋体" w:hint="eastAsia"/>
                <w:sz w:val="24"/>
                <w:szCs w:val="24"/>
              </w:rPr>
              <w:t>得益于社会发展的进程和百城千店逐步的激活，我们要做更多的为客户服务的</w:t>
            </w:r>
            <w:r w:rsidRPr="00E86E5A">
              <w:rPr>
                <w:rFonts w:asciiTheme="minorEastAsia" w:eastAsiaTheme="minorEastAsia" w:hAnsiTheme="minorEastAsia" w:cs="宋体" w:hint="eastAsia"/>
                <w:sz w:val="24"/>
                <w:szCs w:val="24"/>
              </w:rPr>
              <w:t>产品</w:t>
            </w:r>
            <w:r w:rsidRPr="00E86E5A">
              <w:rPr>
                <w:rFonts w:ascii="宋体" w:eastAsia="宋体" w:hAnsi="宋体" w:cs="宋体" w:hint="eastAsia"/>
                <w:sz w:val="24"/>
                <w:szCs w:val="24"/>
              </w:rPr>
              <w:t>，这需要一个迭代的过程</w:t>
            </w:r>
            <w:r w:rsidRPr="00E86E5A">
              <w:rPr>
                <w:rFonts w:asciiTheme="minorEastAsia" w:eastAsiaTheme="minorEastAsia" w:hAnsiTheme="minorEastAsia" w:cs="宋体" w:hint="eastAsia"/>
                <w:sz w:val="24"/>
                <w:szCs w:val="24"/>
              </w:rPr>
              <w:t>。</w:t>
            </w:r>
          </w:p>
        </w:tc>
      </w:tr>
      <w:tr w:rsidR="0012408E" w:rsidTr="003763F3">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3763F3">
            <w:pPr>
              <w:adjustRightInd w:val="0"/>
              <w:snapToGrid w:val="0"/>
              <w:jc w:val="center"/>
              <w:rPr>
                <w:rFonts w:ascii="宋体" w:hAnsi="宋体"/>
                <w:b/>
                <w:bCs/>
                <w:iCs/>
                <w:sz w:val="24"/>
              </w:rPr>
            </w:pPr>
            <w:r>
              <w:rPr>
                <w:rFonts w:ascii="宋体" w:hAnsi="宋体" w:hint="eastAsia"/>
                <w:b/>
                <w:bCs/>
                <w:iCs/>
                <w:sz w:val="24"/>
              </w:rPr>
              <w:lastRenderedPageBreak/>
              <w:t>备注</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Default="00AE7D73" w:rsidP="003763F3">
            <w:pPr>
              <w:adjustRightInd w:val="0"/>
              <w:snapToGrid w:val="0"/>
              <w:rPr>
                <w:rFonts w:ascii="宋体" w:hAnsi="宋体"/>
                <w:bCs/>
                <w:iCs/>
                <w:sz w:val="24"/>
              </w:rPr>
            </w:pPr>
            <w:r>
              <w:rPr>
                <w:rFonts w:ascii="宋体" w:hAnsi="宋体" w:hint="eastAsia"/>
                <w:bCs/>
                <w:iCs/>
                <w:sz w:val="24"/>
              </w:rPr>
              <w:t>现场无资料提供</w:t>
            </w:r>
          </w:p>
        </w:tc>
      </w:tr>
      <w:tr w:rsidR="0012408E" w:rsidTr="003763F3">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12408E" w:rsidRDefault="00AE7D73" w:rsidP="003763F3">
            <w:pPr>
              <w:adjustRightInd w:val="0"/>
              <w:snapToGrid w:val="0"/>
              <w:jc w:val="center"/>
              <w:rPr>
                <w:rFonts w:ascii="宋体" w:hAnsi="宋体"/>
                <w:b/>
                <w:bCs/>
                <w:iCs/>
                <w:sz w:val="24"/>
              </w:rPr>
            </w:pPr>
            <w:r>
              <w:rPr>
                <w:rFonts w:ascii="宋体" w:hAnsi="宋体" w:hint="eastAsia"/>
                <w:b/>
                <w:bCs/>
                <w:iCs/>
                <w:sz w:val="24"/>
              </w:rPr>
              <w:t>日期</w:t>
            </w:r>
          </w:p>
        </w:tc>
        <w:tc>
          <w:tcPr>
            <w:tcW w:w="6744" w:type="dxa"/>
            <w:tcBorders>
              <w:top w:val="single" w:sz="4" w:space="0" w:color="auto"/>
              <w:left w:val="single" w:sz="4" w:space="0" w:color="auto"/>
              <w:bottom w:val="single" w:sz="4" w:space="0" w:color="auto"/>
              <w:right w:val="single" w:sz="4" w:space="0" w:color="auto"/>
            </w:tcBorders>
            <w:vAlign w:val="center"/>
          </w:tcPr>
          <w:p w:rsidR="0012408E" w:rsidRDefault="00AE7D73" w:rsidP="003763F3">
            <w:pPr>
              <w:adjustRightInd w:val="0"/>
              <w:snapToGrid w:val="0"/>
              <w:rPr>
                <w:rFonts w:ascii="宋体" w:hAnsi="宋体"/>
                <w:bCs/>
                <w:iCs/>
                <w:sz w:val="24"/>
              </w:rPr>
            </w:pPr>
            <w:r>
              <w:rPr>
                <w:rFonts w:ascii="宋体" w:hAnsi="宋体" w:cs="宋体"/>
                <w:sz w:val="24"/>
              </w:rPr>
              <w:t>2018年</w:t>
            </w:r>
            <w:r w:rsidR="00354C19">
              <w:rPr>
                <w:rFonts w:ascii="宋体" w:hAnsi="宋体" w:cs="宋体" w:hint="eastAsia"/>
                <w:sz w:val="24"/>
              </w:rPr>
              <w:t>11</w:t>
            </w:r>
            <w:r>
              <w:rPr>
                <w:rFonts w:ascii="宋体" w:hAnsi="宋体" w:cs="宋体"/>
                <w:sz w:val="24"/>
              </w:rPr>
              <w:t>月</w:t>
            </w:r>
            <w:r w:rsidR="00354C19">
              <w:rPr>
                <w:rFonts w:ascii="宋体" w:hAnsi="宋体" w:cs="宋体" w:hint="eastAsia"/>
                <w:sz w:val="24"/>
              </w:rPr>
              <w:t>1</w:t>
            </w:r>
            <w:r>
              <w:rPr>
                <w:rFonts w:ascii="宋体" w:hAnsi="宋体" w:cs="宋体"/>
                <w:sz w:val="24"/>
              </w:rPr>
              <w:t>日</w:t>
            </w:r>
          </w:p>
        </w:tc>
      </w:tr>
    </w:tbl>
    <w:p w:rsidR="0012408E" w:rsidRDefault="0012408E"/>
    <w:sectPr w:rsidR="0012408E" w:rsidSect="0012408E">
      <w:pgSz w:w="11906" w:h="16838"/>
      <w:pgMar w:top="1440" w:right="1800" w:bottom="1440" w:left="1800" w:header="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04" w:rsidRDefault="00760504" w:rsidP="00872DEB">
      <w:r>
        <w:separator/>
      </w:r>
    </w:p>
  </w:endnote>
  <w:endnote w:type="continuationSeparator" w:id="1">
    <w:p w:rsidR="00760504" w:rsidRDefault="00760504" w:rsidP="00872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04" w:rsidRDefault="00760504" w:rsidP="00872DEB">
      <w:r>
        <w:separator/>
      </w:r>
    </w:p>
  </w:footnote>
  <w:footnote w:type="continuationSeparator" w:id="1">
    <w:p w:rsidR="00760504" w:rsidRDefault="00760504" w:rsidP="00872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23C4E3"/>
    <w:multiLevelType w:val="singleLevel"/>
    <w:tmpl w:val="C923C4E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61F"/>
    <w:rsid w:val="00004D94"/>
    <w:rsid w:val="00005DB8"/>
    <w:rsid w:val="00015F15"/>
    <w:rsid w:val="000341B6"/>
    <w:rsid w:val="000A2068"/>
    <w:rsid w:val="0010351D"/>
    <w:rsid w:val="0012408E"/>
    <w:rsid w:val="00135331"/>
    <w:rsid w:val="001850EF"/>
    <w:rsid w:val="001C5F9B"/>
    <w:rsid w:val="001D27BC"/>
    <w:rsid w:val="002042C8"/>
    <w:rsid w:val="00211B91"/>
    <w:rsid w:val="00246F81"/>
    <w:rsid w:val="00285F13"/>
    <w:rsid w:val="002923C4"/>
    <w:rsid w:val="002B1073"/>
    <w:rsid w:val="002D19F0"/>
    <w:rsid w:val="002F3C66"/>
    <w:rsid w:val="003248B9"/>
    <w:rsid w:val="0034152A"/>
    <w:rsid w:val="00343D81"/>
    <w:rsid w:val="00354C19"/>
    <w:rsid w:val="003763F3"/>
    <w:rsid w:val="00385F40"/>
    <w:rsid w:val="003C47C3"/>
    <w:rsid w:val="003D07FC"/>
    <w:rsid w:val="003F6632"/>
    <w:rsid w:val="004549BD"/>
    <w:rsid w:val="00476FE8"/>
    <w:rsid w:val="004868B6"/>
    <w:rsid w:val="004D340B"/>
    <w:rsid w:val="004F7AE4"/>
    <w:rsid w:val="00522FCE"/>
    <w:rsid w:val="00543005"/>
    <w:rsid w:val="005F5CC8"/>
    <w:rsid w:val="00621591"/>
    <w:rsid w:val="00631CCB"/>
    <w:rsid w:val="00641736"/>
    <w:rsid w:val="00666B58"/>
    <w:rsid w:val="006A1DD0"/>
    <w:rsid w:val="00760504"/>
    <w:rsid w:val="007810EA"/>
    <w:rsid w:val="007A4412"/>
    <w:rsid w:val="007D65EF"/>
    <w:rsid w:val="007E0CB2"/>
    <w:rsid w:val="007F4EF5"/>
    <w:rsid w:val="007F55A1"/>
    <w:rsid w:val="00872DEB"/>
    <w:rsid w:val="00886D15"/>
    <w:rsid w:val="008B3500"/>
    <w:rsid w:val="008C6188"/>
    <w:rsid w:val="00902DFD"/>
    <w:rsid w:val="00991353"/>
    <w:rsid w:val="00A054E5"/>
    <w:rsid w:val="00A91C54"/>
    <w:rsid w:val="00AA3A00"/>
    <w:rsid w:val="00AA3F7B"/>
    <w:rsid w:val="00AA4C6C"/>
    <w:rsid w:val="00AA7D31"/>
    <w:rsid w:val="00AE7D73"/>
    <w:rsid w:val="00BA6395"/>
    <w:rsid w:val="00BC66DD"/>
    <w:rsid w:val="00C40E1D"/>
    <w:rsid w:val="00C52FF8"/>
    <w:rsid w:val="00C662B2"/>
    <w:rsid w:val="00CC2B71"/>
    <w:rsid w:val="00CE148F"/>
    <w:rsid w:val="00D311D2"/>
    <w:rsid w:val="00D3145E"/>
    <w:rsid w:val="00D51BC4"/>
    <w:rsid w:val="00D551DD"/>
    <w:rsid w:val="00D90C81"/>
    <w:rsid w:val="00DB361F"/>
    <w:rsid w:val="00E179F1"/>
    <w:rsid w:val="00E67B0C"/>
    <w:rsid w:val="00E77BFF"/>
    <w:rsid w:val="00E82749"/>
    <w:rsid w:val="00E86E5A"/>
    <w:rsid w:val="00EA5B83"/>
    <w:rsid w:val="00ED5697"/>
    <w:rsid w:val="00ED6DD2"/>
    <w:rsid w:val="00F163EE"/>
    <w:rsid w:val="00F2115E"/>
    <w:rsid w:val="00F33A21"/>
    <w:rsid w:val="00F56265"/>
    <w:rsid w:val="00F77B93"/>
    <w:rsid w:val="00F97C64"/>
    <w:rsid w:val="00FB48C9"/>
    <w:rsid w:val="00FC4793"/>
    <w:rsid w:val="00FE10B7"/>
    <w:rsid w:val="098B2B6B"/>
    <w:rsid w:val="12CC3C4C"/>
    <w:rsid w:val="1ED139FF"/>
    <w:rsid w:val="2296423A"/>
    <w:rsid w:val="238679D4"/>
    <w:rsid w:val="2A492C8F"/>
    <w:rsid w:val="3C8C662F"/>
    <w:rsid w:val="4228677B"/>
    <w:rsid w:val="4BB73C16"/>
    <w:rsid w:val="5D17636E"/>
    <w:rsid w:val="5DD20BF8"/>
    <w:rsid w:val="5E733F14"/>
    <w:rsid w:val="7CDE1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8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2408E"/>
    <w:rPr>
      <w:b/>
      <w:bCs/>
    </w:rPr>
  </w:style>
  <w:style w:type="paragraph" w:styleId="a4">
    <w:name w:val="annotation text"/>
    <w:basedOn w:val="a"/>
    <w:link w:val="Char0"/>
    <w:uiPriority w:val="99"/>
    <w:semiHidden/>
    <w:unhideWhenUsed/>
    <w:qFormat/>
    <w:rsid w:val="0012408E"/>
    <w:pPr>
      <w:jc w:val="left"/>
    </w:pPr>
  </w:style>
  <w:style w:type="paragraph" w:styleId="a5">
    <w:name w:val="Balloon Text"/>
    <w:basedOn w:val="a"/>
    <w:link w:val="Char1"/>
    <w:uiPriority w:val="99"/>
    <w:semiHidden/>
    <w:unhideWhenUsed/>
    <w:qFormat/>
    <w:rsid w:val="0012408E"/>
    <w:rPr>
      <w:sz w:val="18"/>
      <w:szCs w:val="18"/>
    </w:rPr>
  </w:style>
  <w:style w:type="paragraph" w:styleId="a6">
    <w:name w:val="footer"/>
    <w:basedOn w:val="a"/>
    <w:link w:val="Char2"/>
    <w:uiPriority w:val="99"/>
    <w:unhideWhenUsed/>
    <w:qFormat/>
    <w:rsid w:val="0012408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2408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12408E"/>
    <w:rPr>
      <w:sz w:val="21"/>
      <w:szCs w:val="21"/>
    </w:rPr>
  </w:style>
  <w:style w:type="character" w:customStyle="1" w:styleId="Char0">
    <w:name w:val="批注文字 Char"/>
    <w:basedOn w:val="a0"/>
    <w:link w:val="a4"/>
    <w:uiPriority w:val="99"/>
    <w:semiHidden/>
    <w:qFormat/>
    <w:rsid w:val="0012408E"/>
    <w:rPr>
      <w:rFonts w:ascii="Times New Roman" w:eastAsia="宋体" w:hAnsi="Times New Roman" w:cs="Times New Roman"/>
      <w:szCs w:val="24"/>
    </w:rPr>
  </w:style>
  <w:style w:type="character" w:customStyle="1" w:styleId="Char">
    <w:name w:val="批注主题 Char"/>
    <w:basedOn w:val="Char0"/>
    <w:link w:val="a3"/>
    <w:uiPriority w:val="99"/>
    <w:semiHidden/>
    <w:qFormat/>
    <w:rsid w:val="0012408E"/>
    <w:rPr>
      <w:rFonts w:ascii="Times New Roman" w:eastAsia="宋体" w:hAnsi="Times New Roman" w:cs="Times New Roman"/>
      <w:b/>
      <w:bCs/>
      <w:szCs w:val="24"/>
    </w:rPr>
  </w:style>
  <w:style w:type="character" w:customStyle="1" w:styleId="Char1">
    <w:name w:val="批注框文本 Char"/>
    <w:basedOn w:val="a0"/>
    <w:link w:val="a5"/>
    <w:uiPriority w:val="99"/>
    <w:semiHidden/>
    <w:qFormat/>
    <w:rsid w:val="0012408E"/>
    <w:rPr>
      <w:rFonts w:ascii="Times New Roman" w:eastAsia="宋体" w:hAnsi="Times New Roman" w:cs="Times New Roman"/>
      <w:sz w:val="18"/>
      <w:szCs w:val="18"/>
    </w:rPr>
  </w:style>
  <w:style w:type="character" w:customStyle="1" w:styleId="Char3">
    <w:name w:val="页眉 Char"/>
    <w:basedOn w:val="a0"/>
    <w:link w:val="a7"/>
    <w:uiPriority w:val="99"/>
    <w:qFormat/>
    <w:rsid w:val="0012408E"/>
    <w:rPr>
      <w:rFonts w:ascii="Times New Roman" w:eastAsia="宋体" w:hAnsi="Times New Roman" w:cs="Times New Roman"/>
      <w:sz w:val="18"/>
      <w:szCs w:val="18"/>
    </w:rPr>
  </w:style>
  <w:style w:type="character" w:customStyle="1" w:styleId="Char2">
    <w:name w:val="页脚 Char"/>
    <w:basedOn w:val="a0"/>
    <w:link w:val="a6"/>
    <w:uiPriority w:val="99"/>
    <w:qFormat/>
    <w:rsid w:val="0012408E"/>
    <w:rPr>
      <w:rFonts w:ascii="Times New Roman" w:eastAsia="宋体" w:hAnsi="Times New Roman" w:cs="Times New Roman"/>
      <w:sz w:val="18"/>
      <w:szCs w:val="18"/>
    </w:rPr>
  </w:style>
  <w:style w:type="paragraph" w:styleId="a9">
    <w:name w:val="List Paragraph"/>
    <w:basedOn w:val="a"/>
    <w:uiPriority w:val="99"/>
    <w:unhideWhenUsed/>
    <w:qFormat/>
    <w:rsid w:val="0012408E"/>
    <w:pPr>
      <w:ind w:firstLineChars="200" w:firstLine="420"/>
    </w:pPr>
  </w:style>
  <w:style w:type="paragraph" w:styleId="aa">
    <w:name w:val="Plain Text"/>
    <w:basedOn w:val="a"/>
    <w:link w:val="Char10"/>
    <w:uiPriority w:val="99"/>
    <w:unhideWhenUsed/>
    <w:rsid w:val="00AE7D73"/>
    <w:rPr>
      <w:rFonts w:ascii="等线" w:eastAsia="等线" w:hAnsi="Courier New"/>
      <w:kern w:val="0"/>
      <w:sz w:val="20"/>
      <w:szCs w:val="20"/>
    </w:rPr>
  </w:style>
  <w:style w:type="character" w:customStyle="1" w:styleId="Char4">
    <w:name w:val="纯文本 Char"/>
    <w:basedOn w:val="a0"/>
    <w:link w:val="aa"/>
    <w:uiPriority w:val="99"/>
    <w:semiHidden/>
    <w:rsid w:val="00AE7D73"/>
    <w:rPr>
      <w:rFonts w:ascii="宋体" w:eastAsia="宋体" w:hAnsi="Courier New" w:cs="Courier New"/>
      <w:kern w:val="2"/>
      <w:sz w:val="21"/>
      <w:szCs w:val="21"/>
    </w:rPr>
  </w:style>
  <w:style w:type="character" w:customStyle="1" w:styleId="Char10">
    <w:name w:val="纯文本 Char1"/>
    <w:link w:val="aa"/>
    <w:uiPriority w:val="99"/>
    <w:rsid w:val="00AE7D73"/>
    <w:rPr>
      <w:rFonts w:ascii="等线" w:eastAsia="等线" w:hAnsi="Courier New" w:cs="Times New Roman"/>
    </w:rPr>
  </w:style>
  <w:style w:type="paragraph" w:customStyle="1" w:styleId="Default">
    <w:name w:val="Default"/>
    <w:rsid w:val="00385F40"/>
    <w:pPr>
      <w:widowControl w:val="0"/>
      <w:autoSpaceDE w:val="0"/>
      <w:autoSpaceDN w:val="0"/>
      <w:adjustRightInd w:val="0"/>
    </w:pPr>
    <w:rPr>
      <w:rFonts w:ascii="宋体" w:eastAsia="宋体" w:cs="宋体"/>
      <w:color w:val="000000"/>
      <w:sz w:val="24"/>
      <w:szCs w:val="24"/>
    </w:rPr>
  </w:style>
  <w:style w:type="paragraph" w:styleId="ab">
    <w:name w:val="Normal (Web)"/>
    <w:basedOn w:val="a"/>
    <w:uiPriority w:val="99"/>
    <w:unhideWhenUsed/>
    <w:rsid w:val="00385F40"/>
    <w:pPr>
      <w:widowControl/>
      <w:spacing w:before="100" w:beforeAutospacing="1" w:after="100" w:afterAutospacing="1"/>
      <w:jc w:val="left"/>
    </w:pPr>
    <w:rPr>
      <w:rFonts w:ascii="宋体" w:hAnsi="宋体" w:cs="宋体"/>
      <w:kern w:val="0"/>
      <w:sz w:val="24"/>
    </w:rPr>
  </w:style>
  <w:style w:type="character" w:customStyle="1" w:styleId="ac">
    <w:name w:val="纯文本 字符"/>
    <w:uiPriority w:val="99"/>
    <w:rsid w:val="00E86E5A"/>
    <w:rPr>
      <w:rFonts w:ascii="等线" w:hAnsi="Courier New" w:cs="Courier New"/>
    </w:rPr>
  </w:style>
</w:styles>
</file>

<file path=word/webSettings.xml><?xml version="1.0" encoding="utf-8"?>
<w:webSettings xmlns:r="http://schemas.openxmlformats.org/officeDocument/2006/relationships" xmlns:w="http://schemas.openxmlformats.org/wordprocessingml/2006/main">
  <w:divs>
    <w:div w:id="540048111">
      <w:bodyDiv w:val="1"/>
      <w:marLeft w:val="0"/>
      <w:marRight w:val="0"/>
      <w:marTop w:val="0"/>
      <w:marBottom w:val="0"/>
      <w:divBdr>
        <w:top w:val="none" w:sz="0" w:space="0" w:color="auto"/>
        <w:left w:val="none" w:sz="0" w:space="0" w:color="auto"/>
        <w:bottom w:val="none" w:sz="0" w:space="0" w:color="auto"/>
        <w:right w:val="none" w:sz="0" w:space="0" w:color="auto"/>
      </w:divBdr>
      <w:divsChild>
        <w:div w:id="165948476">
          <w:marLeft w:val="0"/>
          <w:marRight w:val="0"/>
          <w:marTop w:val="0"/>
          <w:marBottom w:val="0"/>
          <w:divBdr>
            <w:top w:val="none" w:sz="0" w:space="0" w:color="auto"/>
            <w:left w:val="none" w:sz="0" w:space="0" w:color="auto"/>
            <w:bottom w:val="none" w:sz="0" w:space="0" w:color="auto"/>
            <w:right w:val="none" w:sz="0" w:space="0" w:color="auto"/>
          </w:divBdr>
        </w:div>
        <w:div w:id="437216175">
          <w:marLeft w:val="0"/>
          <w:marRight w:val="0"/>
          <w:marTop w:val="0"/>
          <w:marBottom w:val="0"/>
          <w:divBdr>
            <w:top w:val="none" w:sz="0" w:space="0" w:color="auto"/>
            <w:left w:val="none" w:sz="0" w:space="0" w:color="auto"/>
            <w:bottom w:val="none" w:sz="0" w:space="0" w:color="auto"/>
            <w:right w:val="none" w:sz="0" w:space="0" w:color="auto"/>
          </w:divBdr>
        </w:div>
        <w:div w:id="1408452458">
          <w:marLeft w:val="0"/>
          <w:marRight w:val="0"/>
          <w:marTop w:val="0"/>
          <w:marBottom w:val="0"/>
          <w:divBdr>
            <w:top w:val="none" w:sz="0" w:space="0" w:color="auto"/>
            <w:left w:val="none" w:sz="0" w:space="0" w:color="auto"/>
            <w:bottom w:val="none" w:sz="0" w:space="0" w:color="auto"/>
            <w:right w:val="none" w:sz="0" w:space="0" w:color="auto"/>
          </w:divBdr>
        </w:div>
        <w:div w:id="1328751362">
          <w:marLeft w:val="0"/>
          <w:marRight w:val="0"/>
          <w:marTop w:val="0"/>
          <w:marBottom w:val="0"/>
          <w:divBdr>
            <w:top w:val="none" w:sz="0" w:space="0" w:color="auto"/>
            <w:left w:val="none" w:sz="0" w:space="0" w:color="auto"/>
            <w:bottom w:val="none" w:sz="0" w:space="0" w:color="auto"/>
            <w:right w:val="none" w:sz="0" w:space="0" w:color="auto"/>
          </w:divBdr>
        </w:div>
        <w:div w:id="430707069">
          <w:marLeft w:val="0"/>
          <w:marRight w:val="0"/>
          <w:marTop w:val="0"/>
          <w:marBottom w:val="0"/>
          <w:divBdr>
            <w:top w:val="none" w:sz="0" w:space="0" w:color="auto"/>
            <w:left w:val="none" w:sz="0" w:space="0" w:color="auto"/>
            <w:bottom w:val="none" w:sz="0" w:space="0" w:color="auto"/>
            <w:right w:val="none" w:sz="0" w:space="0" w:color="auto"/>
          </w:divBdr>
        </w:div>
        <w:div w:id="1980958116">
          <w:marLeft w:val="0"/>
          <w:marRight w:val="0"/>
          <w:marTop w:val="0"/>
          <w:marBottom w:val="0"/>
          <w:divBdr>
            <w:top w:val="none" w:sz="0" w:space="0" w:color="auto"/>
            <w:left w:val="none" w:sz="0" w:space="0" w:color="auto"/>
            <w:bottom w:val="none" w:sz="0" w:space="0" w:color="auto"/>
            <w:right w:val="none" w:sz="0" w:space="0" w:color="auto"/>
          </w:divBdr>
        </w:div>
        <w:div w:id="1754011817">
          <w:marLeft w:val="0"/>
          <w:marRight w:val="0"/>
          <w:marTop w:val="0"/>
          <w:marBottom w:val="0"/>
          <w:divBdr>
            <w:top w:val="none" w:sz="0" w:space="0" w:color="auto"/>
            <w:left w:val="none" w:sz="0" w:space="0" w:color="auto"/>
            <w:bottom w:val="none" w:sz="0" w:space="0" w:color="auto"/>
            <w:right w:val="none" w:sz="0" w:space="0" w:color="auto"/>
          </w:divBdr>
        </w:div>
        <w:div w:id="404302745">
          <w:marLeft w:val="0"/>
          <w:marRight w:val="0"/>
          <w:marTop w:val="0"/>
          <w:marBottom w:val="0"/>
          <w:divBdr>
            <w:top w:val="none" w:sz="0" w:space="0" w:color="auto"/>
            <w:left w:val="none" w:sz="0" w:space="0" w:color="auto"/>
            <w:bottom w:val="none" w:sz="0" w:space="0" w:color="auto"/>
            <w:right w:val="none" w:sz="0" w:space="0" w:color="auto"/>
          </w:divBdr>
        </w:div>
        <w:div w:id="374043453">
          <w:marLeft w:val="0"/>
          <w:marRight w:val="0"/>
          <w:marTop w:val="0"/>
          <w:marBottom w:val="0"/>
          <w:divBdr>
            <w:top w:val="none" w:sz="0" w:space="0" w:color="auto"/>
            <w:left w:val="none" w:sz="0" w:space="0" w:color="auto"/>
            <w:bottom w:val="none" w:sz="0" w:space="0" w:color="auto"/>
            <w:right w:val="none" w:sz="0" w:space="0" w:color="auto"/>
          </w:divBdr>
        </w:div>
        <w:div w:id="267658357">
          <w:marLeft w:val="0"/>
          <w:marRight w:val="0"/>
          <w:marTop w:val="0"/>
          <w:marBottom w:val="0"/>
          <w:divBdr>
            <w:top w:val="none" w:sz="0" w:space="0" w:color="auto"/>
            <w:left w:val="none" w:sz="0" w:space="0" w:color="auto"/>
            <w:bottom w:val="none" w:sz="0" w:space="0" w:color="auto"/>
            <w:right w:val="none" w:sz="0" w:space="0" w:color="auto"/>
          </w:divBdr>
        </w:div>
        <w:div w:id="752747265">
          <w:marLeft w:val="0"/>
          <w:marRight w:val="0"/>
          <w:marTop w:val="0"/>
          <w:marBottom w:val="0"/>
          <w:divBdr>
            <w:top w:val="none" w:sz="0" w:space="0" w:color="auto"/>
            <w:left w:val="none" w:sz="0" w:space="0" w:color="auto"/>
            <w:bottom w:val="none" w:sz="0" w:space="0" w:color="auto"/>
            <w:right w:val="none" w:sz="0" w:space="0" w:color="auto"/>
          </w:divBdr>
        </w:div>
        <w:div w:id="1028143390">
          <w:marLeft w:val="0"/>
          <w:marRight w:val="0"/>
          <w:marTop w:val="0"/>
          <w:marBottom w:val="0"/>
          <w:divBdr>
            <w:top w:val="none" w:sz="0" w:space="0" w:color="auto"/>
            <w:left w:val="none" w:sz="0" w:space="0" w:color="auto"/>
            <w:bottom w:val="none" w:sz="0" w:space="0" w:color="auto"/>
            <w:right w:val="none" w:sz="0" w:space="0" w:color="auto"/>
          </w:divBdr>
        </w:div>
        <w:div w:id="1530948387">
          <w:marLeft w:val="0"/>
          <w:marRight w:val="0"/>
          <w:marTop w:val="0"/>
          <w:marBottom w:val="0"/>
          <w:divBdr>
            <w:top w:val="none" w:sz="0" w:space="0" w:color="auto"/>
            <w:left w:val="none" w:sz="0" w:space="0" w:color="auto"/>
            <w:bottom w:val="none" w:sz="0" w:space="0" w:color="auto"/>
            <w:right w:val="none" w:sz="0" w:space="0" w:color="auto"/>
          </w:divBdr>
        </w:div>
        <w:div w:id="1480852342">
          <w:marLeft w:val="0"/>
          <w:marRight w:val="0"/>
          <w:marTop w:val="0"/>
          <w:marBottom w:val="0"/>
          <w:divBdr>
            <w:top w:val="none" w:sz="0" w:space="0" w:color="auto"/>
            <w:left w:val="none" w:sz="0" w:space="0" w:color="auto"/>
            <w:bottom w:val="none" w:sz="0" w:space="0" w:color="auto"/>
            <w:right w:val="none" w:sz="0" w:space="0" w:color="auto"/>
          </w:divBdr>
        </w:div>
        <w:div w:id="1188833380">
          <w:marLeft w:val="0"/>
          <w:marRight w:val="0"/>
          <w:marTop w:val="0"/>
          <w:marBottom w:val="0"/>
          <w:divBdr>
            <w:top w:val="none" w:sz="0" w:space="0" w:color="auto"/>
            <w:left w:val="none" w:sz="0" w:space="0" w:color="auto"/>
            <w:bottom w:val="none" w:sz="0" w:space="0" w:color="auto"/>
            <w:right w:val="none" w:sz="0" w:space="0" w:color="auto"/>
          </w:divBdr>
        </w:div>
        <w:div w:id="577401523">
          <w:marLeft w:val="0"/>
          <w:marRight w:val="0"/>
          <w:marTop w:val="0"/>
          <w:marBottom w:val="0"/>
          <w:divBdr>
            <w:top w:val="none" w:sz="0" w:space="0" w:color="auto"/>
            <w:left w:val="none" w:sz="0" w:space="0" w:color="auto"/>
            <w:bottom w:val="none" w:sz="0" w:space="0" w:color="auto"/>
            <w:right w:val="none" w:sz="0" w:space="0" w:color="auto"/>
          </w:divBdr>
        </w:div>
        <w:div w:id="1586066247">
          <w:marLeft w:val="0"/>
          <w:marRight w:val="0"/>
          <w:marTop w:val="0"/>
          <w:marBottom w:val="0"/>
          <w:divBdr>
            <w:top w:val="none" w:sz="0" w:space="0" w:color="auto"/>
            <w:left w:val="none" w:sz="0" w:space="0" w:color="auto"/>
            <w:bottom w:val="none" w:sz="0" w:space="0" w:color="auto"/>
            <w:right w:val="none" w:sz="0" w:space="0" w:color="auto"/>
          </w:divBdr>
        </w:div>
        <w:div w:id="264044632">
          <w:marLeft w:val="0"/>
          <w:marRight w:val="0"/>
          <w:marTop w:val="0"/>
          <w:marBottom w:val="0"/>
          <w:divBdr>
            <w:top w:val="none" w:sz="0" w:space="0" w:color="auto"/>
            <w:left w:val="none" w:sz="0" w:space="0" w:color="auto"/>
            <w:bottom w:val="none" w:sz="0" w:space="0" w:color="auto"/>
            <w:right w:val="none" w:sz="0" w:space="0" w:color="auto"/>
          </w:divBdr>
        </w:div>
        <w:div w:id="852644872">
          <w:marLeft w:val="0"/>
          <w:marRight w:val="0"/>
          <w:marTop w:val="0"/>
          <w:marBottom w:val="0"/>
          <w:divBdr>
            <w:top w:val="none" w:sz="0" w:space="0" w:color="auto"/>
            <w:left w:val="none" w:sz="0" w:space="0" w:color="auto"/>
            <w:bottom w:val="none" w:sz="0" w:space="0" w:color="auto"/>
            <w:right w:val="none" w:sz="0" w:space="0" w:color="auto"/>
          </w:divBdr>
        </w:div>
        <w:div w:id="1219173854">
          <w:marLeft w:val="0"/>
          <w:marRight w:val="0"/>
          <w:marTop w:val="0"/>
          <w:marBottom w:val="0"/>
          <w:divBdr>
            <w:top w:val="none" w:sz="0" w:space="0" w:color="auto"/>
            <w:left w:val="none" w:sz="0" w:space="0" w:color="auto"/>
            <w:bottom w:val="none" w:sz="0" w:space="0" w:color="auto"/>
            <w:right w:val="none" w:sz="0" w:space="0" w:color="auto"/>
          </w:divBdr>
        </w:div>
        <w:div w:id="1604612967">
          <w:marLeft w:val="0"/>
          <w:marRight w:val="0"/>
          <w:marTop w:val="0"/>
          <w:marBottom w:val="0"/>
          <w:divBdr>
            <w:top w:val="none" w:sz="0" w:space="0" w:color="auto"/>
            <w:left w:val="none" w:sz="0" w:space="0" w:color="auto"/>
            <w:bottom w:val="none" w:sz="0" w:space="0" w:color="auto"/>
            <w:right w:val="none" w:sz="0" w:space="0" w:color="auto"/>
          </w:divBdr>
        </w:div>
        <w:div w:id="1599631788">
          <w:marLeft w:val="0"/>
          <w:marRight w:val="0"/>
          <w:marTop w:val="0"/>
          <w:marBottom w:val="0"/>
          <w:divBdr>
            <w:top w:val="none" w:sz="0" w:space="0" w:color="auto"/>
            <w:left w:val="none" w:sz="0" w:space="0" w:color="auto"/>
            <w:bottom w:val="none" w:sz="0" w:space="0" w:color="auto"/>
            <w:right w:val="none" w:sz="0" w:space="0" w:color="auto"/>
          </w:divBdr>
        </w:div>
        <w:div w:id="1949965839">
          <w:marLeft w:val="0"/>
          <w:marRight w:val="0"/>
          <w:marTop w:val="0"/>
          <w:marBottom w:val="0"/>
          <w:divBdr>
            <w:top w:val="none" w:sz="0" w:space="0" w:color="auto"/>
            <w:left w:val="none" w:sz="0" w:space="0" w:color="auto"/>
            <w:bottom w:val="none" w:sz="0" w:space="0" w:color="auto"/>
            <w:right w:val="none" w:sz="0" w:space="0" w:color="auto"/>
          </w:divBdr>
        </w:div>
        <w:div w:id="693767679">
          <w:marLeft w:val="0"/>
          <w:marRight w:val="0"/>
          <w:marTop w:val="0"/>
          <w:marBottom w:val="0"/>
          <w:divBdr>
            <w:top w:val="none" w:sz="0" w:space="0" w:color="auto"/>
            <w:left w:val="none" w:sz="0" w:space="0" w:color="auto"/>
            <w:bottom w:val="none" w:sz="0" w:space="0" w:color="auto"/>
            <w:right w:val="none" w:sz="0" w:space="0" w:color="auto"/>
          </w:divBdr>
        </w:div>
        <w:div w:id="233980417">
          <w:marLeft w:val="0"/>
          <w:marRight w:val="0"/>
          <w:marTop w:val="0"/>
          <w:marBottom w:val="0"/>
          <w:divBdr>
            <w:top w:val="none" w:sz="0" w:space="0" w:color="auto"/>
            <w:left w:val="none" w:sz="0" w:space="0" w:color="auto"/>
            <w:bottom w:val="none" w:sz="0" w:space="0" w:color="auto"/>
            <w:right w:val="none" w:sz="0" w:space="0" w:color="auto"/>
          </w:divBdr>
        </w:div>
        <w:div w:id="991252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C0FA7-855E-4FE4-9B1B-3B96AA93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000606</cp:lastModifiedBy>
  <cp:revision>39</cp:revision>
  <dcterms:created xsi:type="dcterms:W3CDTF">2017-03-24T05:39:00Z</dcterms:created>
  <dcterms:modified xsi:type="dcterms:W3CDTF">2018-11-02T02:17:00Z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