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F9" w:rsidRDefault="00870D96" w:rsidP="007C5656">
      <w:pPr>
        <w:spacing w:beforeLines="50" w:afterLines="50" w:line="460" w:lineRule="exact"/>
        <w:rPr>
          <w:rFonts w:ascii="宋体" w:hAnsi="宋体" w:cs="楷体_GB2312"/>
          <w:b/>
          <w:bCs/>
          <w:iCs/>
          <w:color w:val="000000"/>
          <w:sz w:val="28"/>
          <w:szCs w:val="28"/>
        </w:rPr>
      </w:pPr>
      <w:r>
        <w:rPr>
          <w:rFonts w:ascii="华文细黑" w:eastAsia="华文细黑" w:hAnsi="华文细黑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  </w:t>
      </w:r>
      <w:r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>深圳市联得自动化装备股份有限公司</w:t>
      </w:r>
    </w:p>
    <w:p w:rsidR="008712F9" w:rsidRDefault="00870D96" w:rsidP="007C5656">
      <w:pPr>
        <w:spacing w:beforeLines="50" w:afterLines="50" w:line="460" w:lineRule="exact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 xml:space="preserve">                 </w:t>
      </w:r>
      <w:r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>投资者关系活动记录表</w:t>
      </w:r>
    </w:p>
    <w:p w:rsidR="008712F9" w:rsidRDefault="00870D96" w:rsidP="007C5656">
      <w:pPr>
        <w:spacing w:beforeLines="50" w:afterLines="50" w:line="460" w:lineRule="exact"/>
        <w:rPr>
          <w:rFonts w:ascii="宋体" w:hAnsi="宋体"/>
          <w:bCs/>
          <w:iCs/>
          <w:color w:val="000000"/>
          <w:szCs w:val="21"/>
        </w:rPr>
      </w:pPr>
      <w:r>
        <w:rPr>
          <w:rFonts w:ascii="宋体" w:hAnsi="宋体" w:hint="eastAsia"/>
          <w:bCs/>
          <w:iCs/>
          <w:color w:val="000000"/>
          <w:szCs w:val="21"/>
        </w:rPr>
        <w:t>证券简称：联得装备</w:t>
      </w:r>
      <w:r>
        <w:rPr>
          <w:rFonts w:ascii="宋体" w:hAnsi="宋体" w:hint="eastAsia"/>
          <w:bCs/>
          <w:iCs/>
          <w:color w:val="000000"/>
          <w:szCs w:val="21"/>
        </w:rPr>
        <w:t xml:space="preserve">             </w:t>
      </w:r>
      <w:r>
        <w:rPr>
          <w:rFonts w:ascii="宋体" w:hAnsi="宋体" w:hint="eastAsia"/>
          <w:bCs/>
          <w:iCs/>
          <w:color w:val="000000"/>
          <w:szCs w:val="21"/>
        </w:rPr>
        <w:t>证券代码：</w:t>
      </w:r>
      <w:r>
        <w:rPr>
          <w:rFonts w:ascii="宋体" w:hAnsi="宋体" w:hint="eastAsia"/>
          <w:bCs/>
          <w:iCs/>
          <w:color w:val="000000"/>
          <w:szCs w:val="21"/>
        </w:rPr>
        <w:t xml:space="preserve">300545            </w:t>
      </w:r>
      <w:bookmarkStart w:id="0" w:name="_GoBack"/>
      <w:bookmarkEnd w:id="0"/>
      <w:r>
        <w:rPr>
          <w:rFonts w:ascii="宋体" w:hAnsi="宋体" w:hint="eastAsia"/>
          <w:bCs/>
          <w:iCs/>
          <w:color w:val="000000"/>
          <w:szCs w:val="21"/>
        </w:rPr>
        <w:t xml:space="preserve">  </w:t>
      </w:r>
      <w:r>
        <w:rPr>
          <w:rFonts w:ascii="宋体" w:hAnsi="宋体" w:hint="eastAsia"/>
          <w:bCs/>
          <w:iCs/>
          <w:color w:val="000000"/>
          <w:szCs w:val="21"/>
        </w:rPr>
        <w:t>编号：</w:t>
      </w:r>
      <w:r>
        <w:rPr>
          <w:rFonts w:ascii="宋体" w:hAnsi="宋体" w:hint="eastAsia"/>
          <w:bCs/>
          <w:iCs/>
          <w:color w:val="000000"/>
          <w:szCs w:val="21"/>
        </w:rPr>
        <w:t>2018-007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8712F9" w:rsidRDefault="008712F9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█</w:t>
            </w:r>
            <w:r>
              <w:rPr>
                <w:rFonts w:ascii="宋体" w:hAnsi="宋体" w:hint="eastAsia"/>
                <w:szCs w:val="21"/>
              </w:rPr>
              <w:t>特定对象调研</w:t>
            </w:r>
            <w:r>
              <w:rPr>
                <w:rFonts w:ascii="宋体" w:hAnsi="宋体" w:hint="eastAsia"/>
                <w:szCs w:val="21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分析师会议</w:t>
            </w:r>
          </w:p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媒体采访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业绩说明会</w:t>
            </w:r>
          </w:p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新闻发布会</w:t>
            </w:r>
            <w:r>
              <w:rPr>
                <w:rFonts w:ascii="宋体" w:hAnsi="宋体" w:hint="eastAsia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路演活动</w:t>
            </w:r>
          </w:p>
          <w:p w:rsidR="008712F9" w:rsidRDefault="00870D96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:rsidR="008712F9" w:rsidRDefault="00870D96">
            <w:pPr>
              <w:tabs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</w:rPr>
              <w:t xml:space="preserve"> ___________________</w:t>
            </w:r>
          </w:p>
        </w:tc>
      </w:tr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南京彤天基金管理有限公司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王公越</w:t>
            </w:r>
          </w:p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宁波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市荣腾投资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管理有限公司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赵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堃</w:t>
            </w:r>
            <w:proofErr w:type="gramEnd"/>
          </w:p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宁波市若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汐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投资管理有限公司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刘渝宁</w:t>
            </w:r>
            <w:proofErr w:type="gramEnd"/>
          </w:p>
        </w:tc>
      </w:tr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2018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日上午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30</w:t>
            </w:r>
          </w:p>
        </w:tc>
      </w:tr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深圳市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龙华区大浪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街道大浪社区同富邨工业园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区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栋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1-4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层公司会议室</w:t>
            </w:r>
          </w:p>
        </w:tc>
      </w:tr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钟辉先生</w:t>
            </w:r>
          </w:p>
          <w:p w:rsidR="008712F9" w:rsidRDefault="00870D96" w:rsidP="007C565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证券事务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专员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: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梁伟萍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女士</w:t>
            </w:r>
          </w:p>
        </w:tc>
      </w:tr>
      <w:tr w:rsidR="008712F9">
        <w:trPr>
          <w:trHeight w:val="84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712F9" w:rsidRDefault="008712F9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一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董事会秘书钟辉先生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简要介绍公司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发展历程、业务发展、目前基本情况以及公司发展战略。</w:t>
            </w:r>
          </w:p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二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、互动交流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br/>
              <w:t xml:space="preserve">    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交流问题如下：</w:t>
            </w:r>
          </w:p>
          <w:p w:rsidR="008712F9" w:rsidRDefault="00870D9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Q1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：公司今年三季度营业收入大</w:t>
            </w:r>
            <w:r w:rsidR="007C5656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幅度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增长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，主要原因在于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OLED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设备的销售增长吗？</w:t>
            </w:r>
          </w:p>
          <w:p w:rsidR="008712F9" w:rsidRDefault="00870D9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A1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：公司今年确认收入的设备主要还是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LCD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设备，目前从整个行业来看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,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下游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客户受良率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等因素的影响，仍主要从国外采购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设备国产替代的渗透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率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仍然不足。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屏的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应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用是下游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客户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的趋势，公司将持续投入研发，积极开拓市场，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加速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推进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OLED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设备的国产替代。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</w:p>
          <w:p w:rsidR="008712F9" w:rsidRDefault="00870D9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Q2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：从公司的三季报中可以看到，公司目前存在较大额的应收账款，流动性也出现了减弱的现象，请问公司的信用政策是怎样的？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8712F9" w:rsidRDefault="00870D9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A2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：公司三季度报表中应收账款金额较大的原因在于公司销售增长，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存在相当一部分订单在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三季度末完成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设备验收并确认收入，但实际付款时间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在第四季度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随着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第四季度相</w:t>
            </w:r>
            <w:r w:rsidR="00671A49">
              <w:rPr>
                <w:rFonts w:ascii="宋体" w:hAnsi="宋体" w:hint="eastAsia"/>
                <w:bCs/>
                <w:iCs/>
                <w:color w:val="000000"/>
                <w:szCs w:val="21"/>
              </w:rPr>
              <w:t>关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订单</w:t>
            </w:r>
            <w:r w:rsidR="00671A49">
              <w:rPr>
                <w:rFonts w:ascii="宋体" w:hAnsi="宋体" w:hint="eastAsia"/>
                <w:bCs/>
                <w:iCs/>
                <w:color w:val="000000"/>
                <w:szCs w:val="21"/>
              </w:rPr>
              <w:t>确认收入后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陆续回款，应收账款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金额会逐步降低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。另外</w:t>
            </w:r>
            <w:r w:rsidR="007C5656"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公司目前处于规模扩张期，主要是增加投资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引起的货币资金减少，后期应收账款回款会改善公司的现金流。公司的信用政策则主要是因客户而异，公司会综合评价客户的信用及双方之间的业务往来情况，以确定相应信用政策的松紧程度。</w:t>
            </w:r>
          </w:p>
          <w:p w:rsidR="008712F9" w:rsidRDefault="00870D9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Q3: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公司目前</w:t>
            </w:r>
            <w:r>
              <w:rPr>
                <w:rFonts w:hint="eastAsia"/>
                <w:b/>
              </w:rPr>
              <w:t>二级市场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股价不理想，请问公司会采取大股东增持的方式提升股价吗？</w:t>
            </w:r>
          </w:p>
          <w:p w:rsidR="008712F9" w:rsidRDefault="00870D9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A3: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首先我们认为公司切实做好自身主营业务、实现公司可持续发展才是对投资者负责的体现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。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应这一理念，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公司始终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着重于增强自身技术储备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提升产品竞争力，开拓下游市场，以期实现可持续发展，为公司股价打下良好的增长基础。其次，</w:t>
            </w:r>
            <w:r w:rsidR="00D64FE0">
              <w:rPr>
                <w:rFonts w:ascii="宋体" w:hAnsi="宋体" w:hint="eastAsia"/>
                <w:bCs/>
                <w:iCs/>
                <w:color w:val="000000"/>
                <w:szCs w:val="21"/>
              </w:rPr>
              <w:t>除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公司控股股东聂泉先生持有公司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64.05%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的股权</w:t>
            </w:r>
            <w:r w:rsidR="00D64FE0">
              <w:rPr>
                <w:rFonts w:ascii="宋体" w:hAnsi="宋体" w:hint="eastAsia"/>
                <w:bCs/>
                <w:iCs/>
                <w:color w:val="000000"/>
                <w:szCs w:val="21"/>
              </w:rPr>
              <w:t>外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，公司董</w:t>
            </w:r>
            <w:r w:rsidR="00E61E9F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监</w:t>
            </w:r>
            <w:r w:rsidR="00E61E9F">
              <w:rPr>
                <w:rFonts w:ascii="宋体" w:hAnsi="宋体" w:hint="eastAsia"/>
                <w:bCs/>
                <w:iCs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高</w:t>
            </w:r>
            <w:r w:rsidR="00E61E9F">
              <w:rPr>
                <w:rFonts w:ascii="宋体" w:hAnsi="宋体" w:hint="eastAsia"/>
                <w:bCs/>
                <w:iCs/>
                <w:color w:val="000000"/>
                <w:szCs w:val="21"/>
              </w:rPr>
              <w:t>所持股份也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均未减持，这也体现了公司管理层对公司的信心。我们看好公司的发展，也希望投资者关注公司的长期发展，不要参与短期市场投机。</w:t>
            </w:r>
          </w:p>
          <w:p w:rsidR="008712F9" w:rsidRDefault="00870D96">
            <w:pPr>
              <w:spacing w:line="460" w:lineRule="exact"/>
              <w:ind w:firstLineChars="150" w:firstLine="316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 xml:space="preserve"> Q4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公司在深圳龙华及东莞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购买的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两个地块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主要建设规划是怎样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的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8712F9" w:rsidRDefault="00870D96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A4: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公司竞拍取得的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龙华区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的地块将作为总部及研发基地，竞拍取得的东莞塘厦地块将作为生产基地建设，就生产基地规模来看，最高能实现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40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-50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亿的产能，上述两处的建设规划实施，能够满足公司未来快速发展对生产经营场地的要求。</w:t>
            </w:r>
          </w:p>
          <w:p w:rsidR="008712F9" w:rsidRDefault="00870D9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Q5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：公司大尺寸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邦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定设备的进展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如何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？</w:t>
            </w:r>
          </w:p>
          <w:p w:rsidR="008712F9" w:rsidRDefault="00870D96">
            <w:pPr>
              <w:spacing w:line="460" w:lineRule="atLeas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A5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公司大尺寸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邦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定设备已取得战略客户重庆惠科的正式订单。</w:t>
            </w:r>
            <w:r>
              <w:rPr>
                <w:rFonts w:ascii="宋体" w:hAnsi="宋体"/>
                <w:color w:val="000000"/>
                <w:szCs w:val="21"/>
              </w:rPr>
              <w:t>公司目前供货给重庆惠科的大尺寸设备就是针对制造</w:t>
            </w:r>
            <w:r>
              <w:rPr>
                <w:rFonts w:ascii="宋体" w:hAnsi="宋体"/>
                <w:color w:val="000000"/>
                <w:szCs w:val="21"/>
              </w:rPr>
              <w:t>21.6-60</w:t>
            </w:r>
            <w:r>
              <w:rPr>
                <w:rFonts w:ascii="宋体" w:hAnsi="宋体"/>
                <w:color w:val="000000"/>
                <w:szCs w:val="21"/>
              </w:rPr>
              <w:t>寸之间的平板显示屏。根据客户反馈，该设备产能已达到</w:t>
            </w:r>
            <w:r>
              <w:rPr>
                <w:rFonts w:ascii="宋体" w:hAnsi="宋体"/>
                <w:color w:val="000000"/>
                <w:szCs w:val="21"/>
              </w:rPr>
              <w:t>80%</w:t>
            </w:r>
            <w:r>
              <w:rPr>
                <w:rFonts w:ascii="宋体" w:hAnsi="宋体"/>
                <w:color w:val="000000"/>
                <w:szCs w:val="21"/>
              </w:rPr>
              <w:t>以上，</w:t>
            </w:r>
            <w:r>
              <w:rPr>
                <w:rFonts w:ascii="宋体" w:hAnsi="宋体" w:hint="eastAsia"/>
                <w:color w:val="000000"/>
                <w:szCs w:val="21"/>
              </w:rPr>
              <w:t>这</w:t>
            </w:r>
            <w:r>
              <w:rPr>
                <w:rFonts w:ascii="宋体" w:hAnsi="宋体"/>
                <w:color w:val="000000"/>
                <w:szCs w:val="21"/>
              </w:rPr>
              <w:t>对于公司</w:t>
            </w:r>
            <w:r>
              <w:rPr>
                <w:rFonts w:ascii="宋体" w:hAnsi="宋体" w:hint="eastAsia"/>
                <w:color w:val="000000"/>
                <w:szCs w:val="21"/>
              </w:rPr>
              <w:t>大尺寸设备的</w:t>
            </w:r>
            <w:r>
              <w:rPr>
                <w:rFonts w:ascii="宋体" w:hAnsi="宋体"/>
                <w:color w:val="000000"/>
                <w:szCs w:val="21"/>
              </w:rPr>
              <w:t>后续</w:t>
            </w:r>
            <w:r>
              <w:rPr>
                <w:rFonts w:ascii="宋体" w:hAnsi="宋体" w:hint="eastAsia"/>
                <w:color w:val="000000"/>
                <w:szCs w:val="21"/>
              </w:rPr>
              <w:t>销售有积极正面的效应，同时也鼓舞了公司的士气，促进公司研发部门更加注重研发创新。</w:t>
            </w:r>
          </w:p>
          <w:p w:rsidR="008712F9" w:rsidRDefault="00870D96">
            <w:pPr>
              <w:spacing w:line="460" w:lineRule="exact"/>
              <w:ind w:firstLineChars="200" w:firstLine="422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Q6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：目前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华洋精机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股份有限公司并购项目处于什么阶段？今年能否实现并表？</w:t>
            </w:r>
          </w:p>
          <w:p w:rsidR="008712F9" w:rsidRDefault="00870D96" w:rsidP="0095187C">
            <w:pPr>
              <w:spacing w:line="460" w:lineRule="exact"/>
              <w:ind w:firstLineChars="200" w:firstLine="420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A6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：目前公司对华洋公司的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后续增资事项还处于项目审批过程中，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尚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未取得台湾方面相关部门的核准文件，公司现时仍持有华洋公司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40%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的股权，预计公司今年的年度报告</w:t>
            </w:r>
            <w:r w:rsidR="0095187C">
              <w:rPr>
                <w:rFonts w:ascii="宋体" w:hAnsi="宋体" w:hint="eastAsia"/>
                <w:bCs/>
                <w:iCs/>
                <w:color w:val="000000"/>
                <w:szCs w:val="21"/>
              </w:rPr>
              <w:t>还不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能在合并报表中反映华洋公司的经营情况。</w:t>
            </w:r>
          </w:p>
        </w:tc>
      </w:tr>
      <w:tr w:rsidR="008712F9">
        <w:trPr>
          <w:trHeight w:val="4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712F9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F9" w:rsidRDefault="00870D96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F9" w:rsidRDefault="00870D96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2018-11-21</w:t>
            </w:r>
          </w:p>
        </w:tc>
      </w:tr>
    </w:tbl>
    <w:p w:rsidR="008712F9" w:rsidRDefault="008712F9">
      <w:pPr>
        <w:rPr>
          <w:rFonts w:ascii="宋体" w:hAnsi="宋体"/>
        </w:rPr>
      </w:pPr>
    </w:p>
    <w:sectPr w:rsidR="008712F9" w:rsidSect="008712F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96" w:rsidRDefault="00870D96" w:rsidP="008712F9">
      <w:r>
        <w:separator/>
      </w:r>
    </w:p>
  </w:endnote>
  <w:endnote w:type="continuationSeparator" w:id="0">
    <w:p w:rsidR="00870D96" w:rsidRDefault="00870D96" w:rsidP="00871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华文细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96" w:rsidRDefault="00870D96" w:rsidP="008712F9">
      <w:r>
        <w:separator/>
      </w:r>
    </w:p>
  </w:footnote>
  <w:footnote w:type="continuationSeparator" w:id="0">
    <w:p w:rsidR="00870D96" w:rsidRDefault="00870D96" w:rsidP="00871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F9" w:rsidRDefault="00870D96">
    <w:pPr>
      <w:widowControl/>
      <w:spacing w:line="460" w:lineRule="exact"/>
      <w:jc w:val="center"/>
      <w:rPr>
        <w:rFonts w:ascii="华文细黑" w:eastAsia="华文细黑" w:hAnsi="华文细黑"/>
        <w:b/>
        <w:szCs w:val="21"/>
      </w:rPr>
    </w:pPr>
    <w:r>
      <w:rPr>
        <w:rFonts w:ascii="华文细黑" w:eastAsia="华文细黑" w:hAnsi="华文细黑" w:hint="eastAsia"/>
        <w:b/>
        <w:szCs w:val="21"/>
      </w:rPr>
      <w:t>投资者关系活动记录表</w:t>
    </w:r>
  </w:p>
  <w:p w:rsidR="008712F9" w:rsidRDefault="008712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2F9"/>
    <w:rsid w:val="00671A49"/>
    <w:rsid w:val="007C5656"/>
    <w:rsid w:val="00870D96"/>
    <w:rsid w:val="008712F9"/>
    <w:rsid w:val="0095187C"/>
    <w:rsid w:val="00D64FE0"/>
    <w:rsid w:val="00E6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12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712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8712F9"/>
    <w:rPr>
      <w:sz w:val="18"/>
      <w:szCs w:val="18"/>
    </w:rPr>
  </w:style>
  <w:style w:type="character" w:customStyle="1" w:styleId="Char">
    <w:name w:val="批注框文本 Char"/>
    <w:basedOn w:val="a0"/>
    <w:link w:val="a5"/>
    <w:rsid w:val="008712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243</Words>
  <Characters>1388</Characters>
  <Application>Microsoft Office Word</Application>
  <DocSecurity>0</DocSecurity>
  <Lines>11</Lines>
  <Paragraphs>3</Paragraphs>
  <ScaleCrop>false</ScaleCrop>
  <Company>Sky123.Org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zhonghui</cp:lastModifiedBy>
  <cp:revision>6</cp:revision>
  <dcterms:created xsi:type="dcterms:W3CDTF">2018-11-21T04:08:00Z</dcterms:created>
  <dcterms:modified xsi:type="dcterms:W3CDTF">2018-11-21T06:03:00Z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