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E0" w:rsidRDefault="005D57E0" w:rsidP="005D57E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A36E52">
        <w:rPr>
          <w:rFonts w:ascii="宋体" w:hAnsi="宋体" w:hint="eastAsia"/>
          <w:bCs/>
          <w:iCs/>
          <w:color w:val="000000"/>
          <w:sz w:val="24"/>
        </w:rPr>
        <w:t xml:space="preserve">002739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A36E52">
        <w:rPr>
          <w:rFonts w:ascii="宋体" w:hAnsi="宋体" w:hint="eastAsia"/>
          <w:bCs/>
          <w:iCs/>
          <w:color w:val="000000"/>
          <w:sz w:val="24"/>
        </w:rPr>
        <w:t>万达</w:t>
      </w:r>
      <w:r w:rsidR="0054035E">
        <w:rPr>
          <w:rFonts w:ascii="宋体" w:hAnsi="宋体" w:hint="eastAsia"/>
          <w:bCs/>
          <w:iCs/>
          <w:color w:val="000000"/>
          <w:sz w:val="24"/>
        </w:rPr>
        <w:t>电影</w:t>
      </w:r>
    </w:p>
    <w:p w:rsidR="005D57E0" w:rsidRPr="00C839E2" w:rsidRDefault="005D57E0" w:rsidP="005D57E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5D57E0" w:rsidRDefault="00A36E52" w:rsidP="005D57E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万达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电影</w:t>
      </w:r>
      <w:r w:rsidR="005D57E0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="005D57E0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5D57E0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5D57E0" w:rsidRPr="00A94694" w:rsidRDefault="005D57E0" w:rsidP="005D57E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5D57E0" w:rsidRPr="00A94694" w:rsidTr="00596BD5">
        <w:tc>
          <w:tcPr>
            <w:tcW w:w="1908" w:type="dxa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5D57E0" w:rsidRDefault="00950CD2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D018C">
              <w:rPr>
                <w:bCs/>
                <w:iCs/>
                <w:color w:val="000000"/>
                <w:sz w:val="24"/>
              </w:rPr>
              <w:t>√</w:t>
            </w:r>
            <w:r w:rsidR="00F769B1">
              <w:rPr>
                <w:bCs/>
                <w:iCs/>
                <w:color w:val="000000"/>
                <w:sz w:val="24"/>
              </w:rPr>
              <w:t xml:space="preserve"> </w:t>
            </w:r>
            <w:r w:rsidR="005D57E0" w:rsidRPr="00A94694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FD0120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5D57E0"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5D57E0" w:rsidRPr="00A9469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5D57E0" w:rsidRDefault="005D57E0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5D57E0" w:rsidRDefault="005D57E0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5D57E0" w:rsidRDefault="005D57E0" w:rsidP="00596B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05F03"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5D57E0" w:rsidRPr="00A94694" w:rsidRDefault="005D57E0" w:rsidP="00596BD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82687"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5D57E0" w:rsidRPr="00A94694" w:rsidTr="00596BD5">
        <w:tc>
          <w:tcPr>
            <w:tcW w:w="1908" w:type="dxa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天风证券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张爽 、蓝仝 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广发证券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杨艾莉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中信证券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唐思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思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马翔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宇</w:t>
            </w:r>
          </w:p>
          <w:p w:rsid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东兴证券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石伟晶、刘哲</w:t>
            </w:r>
          </w:p>
          <w:p w:rsidR="00834900" w:rsidRPr="00601365" w:rsidRDefault="00834900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东吴证券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张良卫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银河证券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杨晓彤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华泰证券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周钊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安信证券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李雪雯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中银国际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刘昊涯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方正证券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谭瑞桥、方博云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东方证券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马继愈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信建投证券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崔碧玮、杨轲、刘亦杉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新时代证券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姚轩杰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西南证券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张闻宇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汇丰前海证券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韩京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海证券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朱珠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兴业证券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李阳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中金公司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丁民杰、杨秋硕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国泰君安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苗瑜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长江证券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徐润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海通证券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郝艳辉、刘欣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国都证券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侯俊哲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中航证券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裴伊凡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国信证券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谢琦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光大证券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贺璐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邮基金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聂璐、于淼 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嘉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实基金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王子建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嘉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宸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李文海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九泰基金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汤潇、卢凯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银华基金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王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浩</w:t>
            </w:r>
            <w:proofErr w:type="gramEnd"/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民生加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 王晓岩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华夏基金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叶力舟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、刘春胜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银华基金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杜宇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太平基金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应豪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新华基金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张雷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海基金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易小金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万家基金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叶勇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联和运通基金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潘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璠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中信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建投基金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吴笑冬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东兴基金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高坤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华宝兴业基金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光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磊</w:t>
            </w:r>
            <w:proofErr w:type="gramEnd"/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银基金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张驰成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长盛基金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 朱律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国泰基金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谷超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华泰柏瑞基金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 周亦然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诺安基金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李玉良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银河金汇资管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郝力芳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国都资管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姚巍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中信资管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李辰、刘将超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东方资管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刘可欣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创资管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谭迎庆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银河资管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李冰桓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信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达证券资管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朱振坤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中建投自营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肖洪彬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光大自营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贺璐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中泰自营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李荣庆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国开证券自营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杜骐臻、陈炳曜、侯俊哲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华安资产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许殿豪</w:t>
            </w:r>
            <w:proofErr w:type="gramEnd"/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再资产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程军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瑞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晟昌资产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王宇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观富资产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万定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山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人保资产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张丽华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渤海汇金证券资产管理公司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纪钢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上海融湖投资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邓小珊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正旭投资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董晨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新思哲投资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谢东晖 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务聚投资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朱一峰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鸿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道投资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熊胜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江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神农投资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赵晚嘉</w:t>
            </w:r>
            <w:proofErr w:type="gramEnd"/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睿道投资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刘兴文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北京衍航投资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杨晓鹏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嘉承金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信投资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李月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神农投资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赵晚嘉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、陈宇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中安投资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张永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中华联合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谢璐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铜爵资本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王乃夫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信诚人寿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万知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幸福人寿保险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李训勇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国开泰富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高耀华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西藏信托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张英祺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昆仑信托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高思维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颐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和银丰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秦志强、刘锡宇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银河金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汇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郑锦斐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朴道瑞富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张富绅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天安财险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向磊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中金公司财富部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杨秋硕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上投摩根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章韧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弘康人寿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阳震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新华资产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王</w:t>
            </w: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浩</w:t>
            </w:r>
            <w:proofErr w:type="gramEnd"/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光大资管</w:t>
            </w:r>
            <w:proofErr w:type="gram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 xml:space="preserve">陈飞 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万载天赐泰成投资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雷晓光</w:t>
            </w:r>
          </w:p>
          <w:p w:rsidR="00601365" w:rsidRPr="00601365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中投证券财富管理部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李凌波</w:t>
            </w:r>
          </w:p>
          <w:p w:rsidR="00A36E52" w:rsidRPr="00A8615E" w:rsidRDefault="00601365" w:rsidP="006013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>keywise</w:t>
            </w:r>
            <w:proofErr w:type="spellEnd"/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capital</w:t>
            </w:r>
            <w:r w:rsidRPr="00601365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林晓文</w:t>
            </w:r>
          </w:p>
        </w:tc>
      </w:tr>
      <w:tr w:rsidR="005D57E0" w:rsidRPr="00A94694" w:rsidTr="00596BD5">
        <w:tc>
          <w:tcPr>
            <w:tcW w:w="1908" w:type="dxa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</w:tcPr>
          <w:p w:rsidR="005D57E0" w:rsidRPr="00A8615E" w:rsidRDefault="00C614D3" w:rsidP="00C614D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</w:pPr>
            <w:r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201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8</w:t>
            </w:r>
            <w:r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年</w:t>
            </w:r>
            <w:r w:rsidR="009F48C0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1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2</w:t>
            </w:r>
            <w:r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月</w:t>
            </w:r>
            <w:r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1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2</w:t>
            </w:r>
            <w:r w:rsidR="008F6E4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 xml:space="preserve">日 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15</w:t>
            </w:r>
            <w:r w:rsidR="008F6E4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: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00</w:t>
            </w:r>
            <w:r w:rsidR="008F6E43"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-1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6</w:t>
            </w:r>
            <w:r w:rsidR="008F6E4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:</w:t>
            </w:r>
            <w:r w:rsidR="009F48C0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0</w:t>
            </w:r>
            <w:r w:rsidR="008F6E4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 xml:space="preserve">0 </w:t>
            </w:r>
          </w:p>
        </w:tc>
      </w:tr>
      <w:tr w:rsidR="005D57E0" w:rsidRPr="00A94694" w:rsidTr="00596BD5">
        <w:tc>
          <w:tcPr>
            <w:tcW w:w="1908" w:type="dxa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5D57E0" w:rsidRPr="00A8615E" w:rsidRDefault="00CA1A24" w:rsidP="00596BD5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color w:val="000000"/>
                <w:sz w:val="22"/>
                <w:szCs w:val="22"/>
              </w:rPr>
            </w:pPr>
            <w:r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万达</w:t>
            </w:r>
            <w:r w:rsidR="003B0B27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文华酒</w:t>
            </w:r>
            <w:r w:rsidR="00C614D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店七层</w:t>
            </w:r>
            <w:r w:rsidR="009F48C0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如意</w:t>
            </w:r>
            <w:r w:rsidR="00C614D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厅</w:t>
            </w:r>
          </w:p>
        </w:tc>
      </w:tr>
      <w:tr w:rsidR="005D57E0" w:rsidRPr="00A94694" w:rsidTr="00596BD5">
        <w:tc>
          <w:tcPr>
            <w:tcW w:w="1908" w:type="dxa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5D57E0" w:rsidRDefault="003C297C" w:rsidP="00750908">
            <w:pPr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</w:pPr>
            <w:r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董事</w:t>
            </w:r>
            <w:r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、</w:t>
            </w:r>
            <w:proofErr w:type="gramStart"/>
            <w:r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总裁</w:t>
            </w:r>
            <w:r w:rsidR="00C614D3"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曾茂军</w:t>
            </w:r>
            <w:proofErr w:type="gramEnd"/>
          </w:p>
          <w:p w:rsidR="009F48C0" w:rsidRPr="00A8615E" w:rsidRDefault="009F48C0" w:rsidP="00750908">
            <w:pPr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董事、执行总裁刘晓彬</w:t>
            </w:r>
          </w:p>
          <w:p w:rsidR="003C297C" w:rsidRPr="009F48C0" w:rsidRDefault="00F769B1" w:rsidP="00F769B1">
            <w:pPr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董事、</w:t>
            </w:r>
            <w:r w:rsidR="003C297C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副总裁</w:t>
            </w:r>
            <w:r w:rsidR="003C297C"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、</w:t>
            </w:r>
            <w:proofErr w:type="gramStart"/>
            <w:r w:rsidR="00C614D3" w:rsidRPr="00A8615E">
              <w:rPr>
                <w:rFonts w:asciiTheme="majorEastAsia" w:eastAsiaTheme="majorEastAsia" w:hAnsiTheme="majorEastAsia" w:cs="宋体" w:hint="eastAsia"/>
                <w:sz w:val="22"/>
                <w:szCs w:val="22"/>
                <w:lang w:val="zh-CN"/>
              </w:rPr>
              <w:t>董秘王</w:t>
            </w:r>
            <w:proofErr w:type="gramEnd"/>
            <w:r w:rsidR="00C614D3" w:rsidRPr="00A8615E">
              <w:rPr>
                <w:rFonts w:asciiTheme="majorEastAsia" w:eastAsiaTheme="majorEastAsia" w:hAnsiTheme="majorEastAsia" w:cs="宋体"/>
                <w:sz w:val="22"/>
                <w:szCs w:val="22"/>
                <w:lang w:val="zh-CN"/>
              </w:rPr>
              <w:t>会武</w:t>
            </w:r>
          </w:p>
        </w:tc>
      </w:tr>
      <w:tr w:rsidR="005D57E0" w:rsidRPr="00A94694" w:rsidTr="00596BD5">
        <w:trPr>
          <w:trHeight w:val="1757"/>
        </w:trPr>
        <w:tc>
          <w:tcPr>
            <w:tcW w:w="1908" w:type="dxa"/>
            <w:vAlign w:val="center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F04C62" w:rsidRPr="00F04C62" w:rsidRDefault="00F04C62" w:rsidP="00F04C62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一、未来几年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公司的</w:t>
            </w:r>
            <w:r w:rsidRPr="00F04C6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影院扩张选址策略？</w:t>
            </w:r>
          </w:p>
          <w:p w:rsidR="00B81635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从城市维度，我们会优先选择消费能力、平均票价和人均观影次数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等指标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都比较好的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二线城市。这两年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二线城市的影院饱和度比三四线城市高，可供新建影院选址的范围变小。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也会考虑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三四线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的影院拓展机会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。根据经验数据，</w:t>
            </w:r>
            <w:r w:rsidR="00F769B1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公里范围内若有30万人口可支撑1家影院，若人口50万则可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支持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2家影院，我们的选址原则是，进入后需要在局部有竞争优势。</w:t>
            </w:r>
            <w:bookmarkStart w:id="0" w:name="_GoBack"/>
            <w:bookmarkEnd w:id="0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</w:p>
          <w:p w:rsidR="00F04C62" w:rsidRPr="00F04C62" w:rsidRDefault="00F04C62" w:rsidP="00F04C62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二、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非票</w:t>
            </w:r>
            <w:r w:rsid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收入</w:t>
            </w:r>
            <w:proofErr w:type="gramEnd"/>
            <w:r w:rsid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构成和发展情况</w:t>
            </w:r>
            <w:r w:rsidRPr="00F04C6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？</w:t>
            </w:r>
          </w:p>
          <w:p w:rsidR="00F04C62" w:rsidRDefault="00F04C62" w:rsidP="00B81635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非票收入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占比最高的是卖品收入，国内目前影院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人均卖品消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费不到5元，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卖品和票价的比例大概是10%-13%左右。在澳洲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人均卖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售价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是票价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的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40%，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国内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人均卖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品还有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较大的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发展空间。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非票收入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体现公司的运营能力，公司目前能够做到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人均卖品消费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是票价的20%，今年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人均卖品消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费突破7.2元，这个占比在国内远远高于行业的平均水平</w:t>
            </w:r>
            <w:r w:rsidR="00444703">
              <w:rPr>
                <w:rFonts w:asciiTheme="majorEastAsia" w:eastAsiaTheme="majorEastAsia" w:hAnsiTheme="majorEastAsia" w:hint="eastAsia"/>
                <w:sz w:val="22"/>
                <w:szCs w:val="22"/>
              </w:rPr>
              <w:t>，</w:t>
            </w:r>
            <w:r w:rsidR="00B81635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衍生商品未来几年有比较大的提升空间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B81635" w:rsidRPr="00F04C62" w:rsidRDefault="00B81635" w:rsidP="00B81635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B81635" w:rsidRDefault="00F04C62" w:rsidP="00B81635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三、星美出售是否标志着行业出清提前到来？面对这种大体量的资产是否考虑并购整合？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关于行业的整合，未来两三年是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影院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行业洗牌的阶段。在这个阶段，公司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的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经营风险控制和选址能力非常重要。如果一个公司过去几年影院选址较差，扩张能力超过了公司融资的能力，又没有管理大规模影院的能力，在行业出清阶段将面临被淘汰的风险。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行业里的并购机会一直有，但目前不是并购最好的时期，因为价格仍旧偏高。当前公司会储备现金流，积累经营能力，为未来的并购做准备。并购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后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，也是要通过资源整合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平台以及品牌的能力，提升并购影院的经营能力和管理能力，降低管理成本。从过往公司并购企业的情况来看，万达整合能力都是非常强的，都获得了比较高速的发展。     </w:t>
            </w:r>
          </w:p>
          <w:p w:rsidR="00B81635" w:rsidRDefault="00B81635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B81635" w:rsidRDefault="00F04C62" w:rsidP="00B81635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四、院</w:t>
            </w:r>
            <w:proofErr w:type="gramStart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线资产</w:t>
            </w:r>
            <w:proofErr w:type="gramEnd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现金流较好，并入影视资产会不会影响现金流稳定性？</w:t>
            </w:r>
          </w:p>
          <w:p w:rsidR="00F04C62" w:rsidRDefault="00B81635" w:rsidP="00B81635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万达影视并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不是新公司，从2013年成立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以来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，经过几年的发展已经积累了较强的盈利能力，并购后会增强上市公司的盈利能力。过去几年是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相对投入较大的阶段，未来几年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在开发的项目已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基本完成了投资，因而内容板块的并入对公司的利润和现金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流都是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正向影响。</w:t>
            </w:r>
          </w:p>
          <w:p w:rsidR="00B81635" w:rsidRPr="00F04C62" w:rsidRDefault="00B81635" w:rsidP="00B81635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B81635" w:rsidRDefault="00F04C62" w:rsidP="00B81635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五、公司怎么看待银幕增速？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最近三年公司的银幕增速相对较快，2016年之前公司建设速度低于行业的，那个时期主要是在沉淀和积累，为实现影院标准化管理做准备。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未来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公司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每年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将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新增影院80-100家（不含并购），其中依托万达广场每年45-55家，每年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具体数量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略有波动。非万达物业拓展的数量，每年不低于30家。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万达有商业地产经营的积累，对选址有深刻理解，公司不会盲目扩张，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会基于严格的选址模型，进行影院的拓展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B81635" w:rsidRDefault="00F04C62" w:rsidP="00B81635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六、</w:t>
            </w:r>
            <w:proofErr w:type="gramStart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时光网</w:t>
            </w:r>
            <w:proofErr w:type="gramEnd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并购进入体内后的运营情况？有哪些协同效应？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并购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为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传统行业增加了互联网的基因。现在</w:t>
            </w:r>
            <w:r w:rsid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双方的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协同效应已经开始逐渐的体现。</w:t>
            </w:r>
          </w:p>
          <w:p w:rsidR="00F04C62" w:rsidRPr="00B81635" w:rsidRDefault="00B81635" w:rsidP="00B81635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</w:t>
            </w:r>
            <w:r w:rsidR="00F04C62" w:rsidRP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并购前，</w:t>
            </w:r>
            <w:proofErr w:type="gramStart"/>
            <w:r w:rsidR="00F04C62" w:rsidRP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F04C62" w:rsidRPr="00B8163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一直处于亏损的状态，去年是首次实现盈利； </w:t>
            </w:r>
          </w:p>
          <w:p w:rsidR="00F04C62" w:rsidRPr="00F04C62" w:rsidRDefault="00B81635" w:rsidP="00B81635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公司APP此前委托第三方开发，收购后由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开发，新开发的APP6.0大幅提升了自有电商的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售票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占比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公司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目前使用的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管理系统也由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开发。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为公司承担着科技平台的作用，补充了公司在科技和互联网方面的能力。</w:t>
            </w:r>
          </w:p>
          <w:p w:rsidR="00F04C62" w:rsidRPr="00F04C62" w:rsidRDefault="00B81635" w:rsidP="00B81635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（3）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衍生品业务过去每年仅约5000万收入，今年可以实现2.5亿，且我们未来获取上游授权能力将增强，和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国内电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商巨头产品结合，未来几年衍生品业务会有爆发式增长。</w:t>
            </w:r>
          </w:p>
          <w:p w:rsidR="00F04C62" w:rsidRPr="00F04C62" w:rsidRDefault="00B81635" w:rsidP="00B81635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（4）</w:t>
            </w:r>
            <w:proofErr w:type="gramStart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时光网</w:t>
            </w:r>
            <w:proofErr w:type="gramEnd"/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旗下的时光直播可以同时和全国超过100个城市的电影院做双方互动的直播，未来可以和万达传媒做整合，为大客户做各种场景的发布会，降低大客户的发行新产品的费用。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B81635" w:rsidRDefault="00F04C62" w:rsidP="00B81635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七、万</w:t>
            </w:r>
            <w:proofErr w:type="gramStart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达电影</w:t>
            </w:r>
            <w:proofErr w:type="gramEnd"/>
            <w:r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的电影生态圈相对别的公司的优势？</w:t>
            </w:r>
          </w:p>
          <w:p w:rsidR="00F04C62" w:rsidRPr="00F04C62" w:rsidRDefault="00B81635" w:rsidP="00B81635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</w:t>
            </w:r>
            <w:r w:rsidR="00F04C62" w:rsidRPr="00B8163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规模优势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：公司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是进入城市最多的院线，且绝大部分</w:t>
            </w:r>
            <w:r w:rsidR="00E870C3">
              <w:rPr>
                <w:rFonts w:asciiTheme="majorEastAsia" w:eastAsiaTheme="majorEastAsia" w:hAnsiTheme="majorEastAsia" w:hint="eastAsia"/>
                <w:sz w:val="22"/>
                <w:szCs w:val="22"/>
              </w:rPr>
              <w:t>影院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是自营的。万达加盟的影院比较优质，现在加盟的三个公司均为已上市或拟上市公司，每家都管理着较多影院。加盟后，影院广告由万达统一经营，同时，万达会输出管理能力，如允许加盟影院对接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NOC系统或者采购系统，都可以大幅降低加盟影院的经营成本。 </w:t>
            </w:r>
          </w:p>
          <w:p w:rsidR="00F04C62" w:rsidRPr="00F04C62" w:rsidRDefault="00E870C3" w:rsidP="00E870C3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</w:t>
            </w:r>
            <w:r w:rsidR="00F04C62" w:rsidRPr="00E870C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内容产出优势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制作发行一体，万达电视剧电影并行，且产能领先，电影年产量8-12部，电视剧年产量10-12部；</w:t>
            </w:r>
          </w:p>
          <w:p w:rsidR="00F04C62" w:rsidRPr="00F04C62" w:rsidRDefault="00E870C3" w:rsidP="00E870C3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（3）股东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万达集团是全球最大的商业不动产持有商，未来商业广场广告资源会由万达</w:t>
            </w:r>
            <w:r w:rsidR="00F769B1">
              <w:rPr>
                <w:rFonts w:asciiTheme="majorEastAsia" w:eastAsiaTheme="majorEastAsia" w:hAnsiTheme="majorEastAsia" w:hint="eastAsia"/>
                <w:sz w:val="22"/>
                <w:szCs w:val="22"/>
              </w:rPr>
              <w:t>传媒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开发；</w:t>
            </w:r>
          </w:p>
          <w:p w:rsidR="00F04C62" w:rsidRPr="00F04C62" w:rsidRDefault="00E870C3" w:rsidP="00E870C3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（4）</w:t>
            </w:r>
            <w:r w:rsidR="00F04C62"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万达影院的取票机全部是自有的，我们可以通过自有取票机获取观众数据，并通过大数据分析提升效率。</w:t>
            </w:r>
          </w:p>
          <w:p w:rsidR="00F04C62" w:rsidRPr="00E870C3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F04C62" w:rsidRDefault="00F04C62" w:rsidP="00E870C3">
            <w:pPr>
              <w:spacing w:line="4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870C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八、万达会员体系怎么样？  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万达电影的会员数是累积的会员数，有沉默会员和活跃会员两类。这两年年度</w:t>
            </w:r>
            <w:r w:rsidR="00E870C3">
              <w:rPr>
                <w:rFonts w:asciiTheme="majorEastAsia" w:eastAsiaTheme="majorEastAsia" w:hAnsiTheme="majorEastAsia" w:hint="eastAsia"/>
                <w:sz w:val="22"/>
                <w:szCs w:val="22"/>
              </w:rPr>
              <w:t>平均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会员活跃度</w:t>
            </w:r>
            <w:r w:rsidR="00E870C3">
              <w:rPr>
                <w:rFonts w:asciiTheme="majorEastAsia" w:eastAsiaTheme="majorEastAsia" w:hAnsiTheme="majorEastAsia" w:hint="eastAsia"/>
                <w:sz w:val="22"/>
                <w:szCs w:val="22"/>
              </w:rPr>
              <w:t>在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45%左右。观影频次方面，全国人均观影人次2次/年，万达持卡会员观影6次/年。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公司对会员进行分层管理，分为重度会员（消费8次以上）、中度会员（观影频次中等但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占比较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大）和轻度会员，对不同的会员以不同策略充分挖掘其价值，比如公司开展了会员成长计划和会员关怀计划。 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4C62" w:rsidRPr="00E870C3" w:rsidRDefault="00F04C62" w:rsidP="00E870C3">
            <w:pPr>
              <w:spacing w:line="4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870C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九、全国票房增速预测？是否会</w:t>
            </w:r>
            <w:proofErr w:type="gramStart"/>
            <w:r w:rsidRPr="00E870C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出现片荒使</w:t>
            </w:r>
            <w:proofErr w:type="gramEnd"/>
            <w:r w:rsidRPr="00E870C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未来2-3年票房增速不及预期？</w:t>
            </w:r>
          </w:p>
          <w:p w:rsidR="00F04C62" w:rsidRPr="00F04C62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预计今年的票房增速10%左右，10月票房下滑使市场出现担忧，但10月票房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增速下滑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主要是因为部分影片票房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远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低于预期，11月《毒液》和12月《海王》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，还有近期的《无名之辈》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的票房表现都不错，预计全年可实现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4E3334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%的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票房增长。</w:t>
            </w:r>
          </w:p>
          <w:p w:rsidR="00B8033D" w:rsidRDefault="00F04C62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关于内容产出，现金流差、现金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储备少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的公司将面临压力，内容产量下滑有利于一二线内容制作公司，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因为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明星档期不会再</w:t>
            </w:r>
            <w:proofErr w:type="gramStart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像之</w:t>
            </w:r>
            <w:proofErr w:type="gramEnd"/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前那么满，现在明星可以更专注地参与拍摄，片方也有足够时间打磨内容。主要的一线、二线制片公司的产出能力</w:t>
            </w:r>
            <w:r w:rsidR="004E3334">
              <w:rPr>
                <w:rFonts w:asciiTheme="majorEastAsia" w:eastAsiaTheme="majorEastAsia" w:hAnsiTheme="majorEastAsia" w:hint="eastAsia"/>
                <w:sz w:val="22"/>
                <w:szCs w:val="22"/>
              </w:rPr>
              <w:t>反而</w:t>
            </w:r>
            <w:r w:rsidRPr="00F04C62">
              <w:rPr>
                <w:rFonts w:asciiTheme="majorEastAsia" w:eastAsiaTheme="majorEastAsia" w:hAnsiTheme="majorEastAsia" w:hint="eastAsia"/>
                <w:sz w:val="22"/>
                <w:szCs w:val="22"/>
              </w:rPr>
              <w:t>会比过去提升。</w:t>
            </w:r>
          </w:p>
          <w:p w:rsidR="00E870C3" w:rsidRPr="00F04C62" w:rsidRDefault="00E870C3" w:rsidP="00F04C62">
            <w:pPr>
              <w:spacing w:line="48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C297C" w:rsidRPr="00A94694" w:rsidRDefault="003C297C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7649F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5D57E0" w:rsidRPr="00A94694" w:rsidTr="00596BD5">
        <w:tc>
          <w:tcPr>
            <w:tcW w:w="1908" w:type="dxa"/>
            <w:vAlign w:val="center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D57E0" w:rsidRPr="00A94694" w:rsidRDefault="005D57E0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5D57E0" w:rsidRPr="00A94694" w:rsidTr="00596BD5">
        <w:tc>
          <w:tcPr>
            <w:tcW w:w="1908" w:type="dxa"/>
            <w:vAlign w:val="center"/>
          </w:tcPr>
          <w:p w:rsidR="005D57E0" w:rsidRPr="007907E7" w:rsidRDefault="005D57E0" w:rsidP="00596BD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5D57E0" w:rsidRPr="00A94694" w:rsidRDefault="003C297C" w:rsidP="00596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E870C3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870C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870C3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870C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870C3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5429C" w:rsidRDefault="00F5429C"/>
    <w:sectPr w:rsidR="00F5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15" w:rsidRDefault="000C1D15" w:rsidP="005D57E0">
      <w:r>
        <w:separator/>
      </w:r>
    </w:p>
  </w:endnote>
  <w:endnote w:type="continuationSeparator" w:id="0">
    <w:p w:rsidR="000C1D15" w:rsidRDefault="000C1D15" w:rsidP="005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15" w:rsidRDefault="000C1D15" w:rsidP="005D57E0">
      <w:r>
        <w:separator/>
      </w:r>
    </w:p>
  </w:footnote>
  <w:footnote w:type="continuationSeparator" w:id="0">
    <w:p w:rsidR="000C1D15" w:rsidRDefault="000C1D15" w:rsidP="005D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C76"/>
    <w:multiLevelType w:val="hybridMultilevel"/>
    <w:tmpl w:val="DC6805F6"/>
    <w:lvl w:ilvl="0" w:tplc="E8A220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60365033"/>
    <w:multiLevelType w:val="hybridMultilevel"/>
    <w:tmpl w:val="4F9EF046"/>
    <w:lvl w:ilvl="0" w:tplc="D2ACC8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93"/>
    <w:rsid w:val="00052F10"/>
    <w:rsid w:val="000C1D15"/>
    <w:rsid w:val="000C6493"/>
    <w:rsid w:val="00185F58"/>
    <w:rsid w:val="00283584"/>
    <w:rsid w:val="003B0B27"/>
    <w:rsid w:val="003C297C"/>
    <w:rsid w:val="00444703"/>
    <w:rsid w:val="00491E5D"/>
    <w:rsid w:val="004E3334"/>
    <w:rsid w:val="0054035E"/>
    <w:rsid w:val="005536DC"/>
    <w:rsid w:val="00560729"/>
    <w:rsid w:val="005C6C24"/>
    <w:rsid w:val="005D57E0"/>
    <w:rsid w:val="00601365"/>
    <w:rsid w:val="00655895"/>
    <w:rsid w:val="0066658B"/>
    <w:rsid w:val="00750908"/>
    <w:rsid w:val="00834900"/>
    <w:rsid w:val="008865CF"/>
    <w:rsid w:val="008F6E43"/>
    <w:rsid w:val="008F6EFD"/>
    <w:rsid w:val="00950CD2"/>
    <w:rsid w:val="0097649F"/>
    <w:rsid w:val="009C3052"/>
    <w:rsid w:val="009F48C0"/>
    <w:rsid w:val="00A36E52"/>
    <w:rsid w:val="00A8615E"/>
    <w:rsid w:val="00AB7E41"/>
    <w:rsid w:val="00B8033D"/>
    <w:rsid w:val="00B8113F"/>
    <w:rsid w:val="00B81635"/>
    <w:rsid w:val="00C614D3"/>
    <w:rsid w:val="00C839E2"/>
    <w:rsid w:val="00CA1A24"/>
    <w:rsid w:val="00CA697A"/>
    <w:rsid w:val="00CB652D"/>
    <w:rsid w:val="00CC2387"/>
    <w:rsid w:val="00D479E4"/>
    <w:rsid w:val="00E25F76"/>
    <w:rsid w:val="00E71EB2"/>
    <w:rsid w:val="00E870C3"/>
    <w:rsid w:val="00EA3D1A"/>
    <w:rsid w:val="00F04C62"/>
    <w:rsid w:val="00F5429C"/>
    <w:rsid w:val="00F62A30"/>
    <w:rsid w:val="00F769B1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FB8C"/>
  <w15:docId w15:val="{BFD94124-FAEC-413F-8D21-B569613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7E0"/>
    <w:rPr>
      <w:sz w:val="18"/>
      <w:szCs w:val="18"/>
    </w:rPr>
  </w:style>
  <w:style w:type="table" w:styleId="a7">
    <w:name w:val="Table Grid"/>
    <w:basedOn w:val="a1"/>
    <w:rsid w:val="005D57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6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dingwenjuan</dc:creator>
  <cp:keywords/>
  <dc:description/>
  <cp:lastModifiedBy>t p</cp:lastModifiedBy>
  <cp:revision>15</cp:revision>
  <dcterms:created xsi:type="dcterms:W3CDTF">2016-01-25T03:49:00Z</dcterms:created>
  <dcterms:modified xsi:type="dcterms:W3CDTF">2018-12-12T15:25:00Z</dcterms:modified>
</cp:coreProperties>
</file>