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E20" w:rsidRPr="005656A9" w:rsidRDefault="00F81E20" w:rsidP="006D3DA2">
      <w:pPr>
        <w:spacing w:beforeLines="50" w:before="156" w:afterLines="50" w:after="156" w:line="400" w:lineRule="exact"/>
        <w:rPr>
          <w:rFonts w:ascii="宋体" w:hAnsi="宋体"/>
          <w:bCs/>
          <w:iCs/>
          <w:sz w:val="22"/>
          <w:szCs w:val="22"/>
        </w:rPr>
      </w:pPr>
      <w:r w:rsidRPr="005656A9">
        <w:rPr>
          <w:rFonts w:ascii="宋体" w:hAnsi="宋体" w:hint="eastAsia"/>
          <w:bCs/>
          <w:iCs/>
          <w:sz w:val="22"/>
          <w:szCs w:val="22"/>
        </w:rPr>
        <w:t>证券代码：</w:t>
      </w:r>
      <w:r>
        <w:rPr>
          <w:rFonts w:ascii="宋体" w:hAnsi="宋体" w:hint="eastAsia"/>
          <w:bCs/>
          <w:iCs/>
          <w:sz w:val="22"/>
          <w:szCs w:val="22"/>
        </w:rPr>
        <w:t>002745</w:t>
      </w:r>
      <w:r w:rsidR="00207451">
        <w:rPr>
          <w:rFonts w:ascii="宋体" w:hAnsi="宋体" w:hint="eastAsia"/>
          <w:bCs/>
          <w:iCs/>
          <w:sz w:val="22"/>
          <w:szCs w:val="22"/>
        </w:rPr>
        <w:t xml:space="preserve">                                         </w:t>
      </w:r>
      <w:r w:rsidRPr="005656A9">
        <w:rPr>
          <w:rFonts w:ascii="宋体" w:hAnsi="宋体" w:hint="eastAsia"/>
          <w:bCs/>
          <w:iCs/>
          <w:sz w:val="22"/>
          <w:szCs w:val="22"/>
        </w:rPr>
        <w:t>证券简称：</w:t>
      </w:r>
      <w:r>
        <w:rPr>
          <w:rFonts w:ascii="宋体" w:hAnsi="宋体" w:hint="eastAsia"/>
          <w:bCs/>
          <w:iCs/>
          <w:sz w:val="22"/>
          <w:szCs w:val="22"/>
        </w:rPr>
        <w:t>木林森</w:t>
      </w:r>
    </w:p>
    <w:p w:rsidR="00F81E20" w:rsidRPr="005656A9" w:rsidRDefault="00F81E20" w:rsidP="006D3DA2">
      <w:pPr>
        <w:spacing w:beforeLines="50" w:before="156" w:afterLines="50" w:after="156" w:line="400" w:lineRule="exact"/>
        <w:ind w:firstLineChars="300" w:firstLine="660"/>
        <w:rPr>
          <w:rFonts w:ascii="宋体" w:hAnsi="宋体"/>
          <w:bCs/>
          <w:iCs/>
          <w:sz w:val="22"/>
          <w:szCs w:val="22"/>
        </w:rPr>
      </w:pPr>
    </w:p>
    <w:p w:rsidR="00F81E20" w:rsidRPr="005656A9" w:rsidRDefault="00F81E20" w:rsidP="006D3DA2">
      <w:pPr>
        <w:spacing w:beforeLines="50" w:before="156" w:afterLines="50" w:after="156" w:line="400" w:lineRule="exact"/>
        <w:jc w:val="center"/>
        <w:rPr>
          <w:rFonts w:ascii="宋体" w:hAnsi="宋体"/>
          <w:b/>
          <w:bCs/>
          <w:iCs/>
          <w:sz w:val="22"/>
          <w:szCs w:val="22"/>
        </w:rPr>
      </w:pPr>
      <w:r>
        <w:rPr>
          <w:rFonts w:ascii="宋体" w:hAnsi="宋体" w:hint="eastAsia"/>
          <w:b/>
          <w:bCs/>
          <w:iCs/>
          <w:sz w:val="22"/>
          <w:szCs w:val="22"/>
        </w:rPr>
        <w:t>木林森</w:t>
      </w:r>
      <w:r w:rsidRPr="005656A9">
        <w:rPr>
          <w:rFonts w:ascii="宋体" w:hAnsi="宋体"/>
          <w:b/>
          <w:bCs/>
          <w:iCs/>
          <w:sz w:val="22"/>
          <w:szCs w:val="22"/>
        </w:rPr>
        <w:t>股份有限公司投资者关系活动记录表</w:t>
      </w:r>
    </w:p>
    <w:p w:rsidR="00F81E20" w:rsidRPr="005656A9" w:rsidRDefault="00F81E20" w:rsidP="00F81E20">
      <w:pPr>
        <w:spacing w:line="400" w:lineRule="exact"/>
        <w:rPr>
          <w:rFonts w:ascii="宋体" w:hAnsi="宋体"/>
          <w:bCs/>
          <w:iCs/>
          <w:sz w:val="22"/>
          <w:szCs w:val="22"/>
        </w:rPr>
      </w:pPr>
      <w:r w:rsidRPr="005656A9">
        <w:rPr>
          <w:rFonts w:ascii="宋体" w:hAnsi="宋体"/>
          <w:bCs/>
          <w:iCs/>
          <w:sz w:val="22"/>
          <w:szCs w:val="22"/>
        </w:rPr>
        <w:t xml:space="preserve">                                                     </w:t>
      </w:r>
      <w:r w:rsidR="00407D0A">
        <w:rPr>
          <w:rFonts w:ascii="宋体" w:hAnsi="宋体" w:hint="eastAsia"/>
          <w:bCs/>
          <w:iCs/>
          <w:sz w:val="22"/>
          <w:szCs w:val="22"/>
        </w:rPr>
        <w:t xml:space="preserve">     </w:t>
      </w:r>
      <w:r w:rsidRPr="005656A9">
        <w:rPr>
          <w:rFonts w:ascii="宋体" w:hAnsi="宋体"/>
          <w:bCs/>
          <w:iCs/>
          <w:sz w:val="22"/>
          <w:szCs w:val="22"/>
        </w:rPr>
        <w:t xml:space="preserve"> 编号：</w:t>
      </w:r>
      <w:r w:rsidR="00143463">
        <w:rPr>
          <w:rFonts w:ascii="宋体" w:hAnsi="宋体" w:hint="eastAsia"/>
          <w:bCs/>
          <w:iCs/>
          <w:sz w:val="22"/>
          <w:szCs w:val="22"/>
        </w:rPr>
        <w:t>201</w:t>
      </w:r>
      <w:r w:rsidR="00E94CA5">
        <w:rPr>
          <w:rFonts w:ascii="宋体" w:hAnsi="宋体" w:hint="eastAsia"/>
          <w:bCs/>
          <w:iCs/>
          <w:sz w:val="22"/>
          <w:szCs w:val="22"/>
        </w:rPr>
        <w:t>9</w:t>
      </w:r>
      <w:r w:rsidR="009F285C">
        <w:rPr>
          <w:rFonts w:ascii="宋体" w:hAnsi="宋体" w:hint="eastAsia"/>
          <w:bCs/>
          <w:iCs/>
          <w:sz w:val="22"/>
          <w:szCs w:val="22"/>
        </w:rPr>
        <w:t>-</w:t>
      </w:r>
      <w:r w:rsidR="00143463">
        <w:rPr>
          <w:rFonts w:ascii="宋体" w:hAnsi="宋体" w:hint="eastAsia"/>
          <w:bCs/>
          <w:iCs/>
          <w:sz w:val="22"/>
          <w:szCs w:val="22"/>
        </w:rPr>
        <w:t>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投资者关系活动类别</w:t>
            </w:r>
          </w:p>
          <w:p w:rsidR="00F81E20" w:rsidRPr="005656A9" w:rsidRDefault="00F81E20" w:rsidP="00207451">
            <w:pPr>
              <w:spacing w:line="480" w:lineRule="atLeast"/>
              <w:rPr>
                <w:rFonts w:ascii="宋体" w:hAnsi="宋体"/>
                <w:b/>
                <w:bCs/>
                <w:iCs/>
                <w:sz w:val="22"/>
                <w:szCs w:val="22"/>
              </w:rPr>
            </w:pPr>
          </w:p>
        </w:tc>
        <w:tc>
          <w:tcPr>
            <w:tcW w:w="6614" w:type="dxa"/>
            <w:shd w:val="clear" w:color="auto" w:fill="auto"/>
          </w:tcPr>
          <w:p w:rsidR="00F81E20" w:rsidRPr="005656A9" w:rsidRDefault="00E94CA5" w:rsidP="00207451">
            <w:pPr>
              <w:spacing w:line="480" w:lineRule="atLeast"/>
              <w:rPr>
                <w:rFonts w:ascii="宋体" w:hAnsi="宋体"/>
                <w:bCs/>
                <w:iCs/>
                <w:sz w:val="22"/>
                <w:szCs w:val="22"/>
              </w:rPr>
            </w:pPr>
            <w:r w:rsidRPr="00E94CA5">
              <w:rPr>
                <w:rFonts w:ascii="MS Mincho" w:eastAsia="MS Mincho" w:hAnsi="MS Mincho" w:cs="MS Mincho" w:hint="eastAsia"/>
                <w:sz w:val="22"/>
                <w:szCs w:val="22"/>
              </w:rPr>
              <w:t>□</w:t>
            </w:r>
            <w:r w:rsidR="00F81E20" w:rsidRPr="005656A9">
              <w:rPr>
                <w:rFonts w:ascii="宋体" w:hAnsi="宋体" w:hint="eastAsia"/>
                <w:sz w:val="22"/>
                <w:szCs w:val="22"/>
              </w:rPr>
              <w:t>特定对象调研</w:t>
            </w:r>
            <w:r w:rsidR="00431EEB">
              <w:rPr>
                <w:rFonts w:ascii="宋体" w:hAnsi="宋体" w:hint="eastAsia"/>
                <w:sz w:val="22"/>
                <w:szCs w:val="22"/>
              </w:rPr>
              <w:t xml:space="preserve">                           </w:t>
            </w:r>
            <w:r>
              <w:rPr>
                <w:rFonts w:ascii="MS Mincho" w:eastAsia="MS Mincho" w:hAnsi="MS Mincho" w:cs="MS Mincho"/>
                <w:sz w:val="22"/>
                <w:szCs w:val="22"/>
              </w:rPr>
              <w:fldChar w:fldCharType="begin"/>
            </w:r>
            <w:r>
              <w:rPr>
                <w:rFonts w:ascii="MS Mincho" w:hAnsi="MS Mincho" w:cs="MS Mincho" w:hint="eastAsia"/>
                <w:sz w:val="22"/>
                <w:szCs w:val="22"/>
              </w:rPr>
              <w:instrText>eq \o\ac(</w:instrText>
            </w:r>
            <w:r>
              <w:rPr>
                <w:rFonts w:ascii="MS Mincho" w:hAnsi="MS Mincho" w:cs="MS Mincho" w:hint="eastAsia"/>
                <w:sz w:val="22"/>
                <w:szCs w:val="22"/>
              </w:rPr>
              <w:instrText>□</w:instrText>
            </w:r>
            <w:r>
              <w:rPr>
                <w:rFonts w:ascii="MS Mincho" w:hAnsi="MS Mincho" w:cs="MS Mincho" w:hint="eastAsia"/>
                <w:sz w:val="22"/>
                <w:szCs w:val="22"/>
              </w:rPr>
              <w:instrText>,</w:instrText>
            </w:r>
            <w:r w:rsidRPr="00E67862">
              <w:rPr>
                <w:rFonts w:ascii="宋体" w:hAnsi="MS Mincho" w:cs="MS Mincho" w:hint="eastAsia"/>
                <w:position w:val="1"/>
                <w:sz w:val="15"/>
                <w:szCs w:val="22"/>
              </w:rPr>
              <w:instrText>√</w:instrText>
            </w:r>
            <w:r>
              <w:rPr>
                <w:rFonts w:ascii="MS Mincho" w:hAnsi="MS Mincho" w:cs="MS Mincho" w:hint="eastAsia"/>
                <w:sz w:val="22"/>
                <w:szCs w:val="22"/>
              </w:rPr>
              <w:instrText>)</w:instrText>
            </w:r>
            <w:r>
              <w:rPr>
                <w:rFonts w:ascii="MS Mincho" w:eastAsia="MS Mincho" w:hAnsi="MS Mincho" w:cs="MS Mincho"/>
                <w:sz w:val="22"/>
                <w:szCs w:val="22"/>
              </w:rPr>
              <w:fldChar w:fldCharType="end"/>
            </w:r>
            <w:r w:rsidR="00F81E20" w:rsidRPr="005656A9">
              <w:rPr>
                <w:rFonts w:ascii="宋体" w:hAnsi="宋体" w:hint="eastAsia"/>
                <w:sz w:val="22"/>
                <w:szCs w:val="22"/>
              </w:rPr>
              <w:t>分析师会议</w:t>
            </w:r>
          </w:p>
          <w:p w:rsidR="00F81E20" w:rsidRPr="005656A9" w:rsidRDefault="00F81E20" w:rsidP="00207451">
            <w:pPr>
              <w:spacing w:line="480" w:lineRule="atLeast"/>
              <w:rPr>
                <w:rFonts w:ascii="宋体" w:hAnsi="宋体"/>
                <w:bCs/>
                <w:iCs/>
                <w:sz w:val="22"/>
                <w:szCs w:val="22"/>
              </w:rPr>
            </w:pPr>
            <w:r w:rsidRPr="005656A9">
              <w:rPr>
                <w:rFonts w:ascii="宋体" w:hAnsi="宋体" w:hint="eastAsia"/>
                <w:bCs/>
                <w:iCs/>
                <w:sz w:val="22"/>
                <w:szCs w:val="22"/>
              </w:rPr>
              <w:t>□</w:t>
            </w:r>
            <w:r w:rsidRPr="005656A9">
              <w:rPr>
                <w:rFonts w:ascii="宋体" w:hAnsi="宋体" w:hint="eastAsia"/>
                <w:sz w:val="22"/>
                <w:szCs w:val="22"/>
              </w:rPr>
              <w:t>媒体采访</w:t>
            </w:r>
            <w:r w:rsidR="00431EEB">
              <w:rPr>
                <w:rFonts w:ascii="宋体" w:hAnsi="宋体" w:hint="eastAsia"/>
                <w:sz w:val="22"/>
                <w:szCs w:val="22"/>
              </w:rPr>
              <w:t xml:space="preserve">                               </w:t>
            </w:r>
            <w:r w:rsidRPr="005656A9">
              <w:rPr>
                <w:rFonts w:ascii="宋体" w:hAnsi="宋体" w:hint="eastAsia"/>
                <w:bCs/>
                <w:iCs/>
                <w:sz w:val="22"/>
                <w:szCs w:val="22"/>
              </w:rPr>
              <w:t>□</w:t>
            </w:r>
            <w:r w:rsidRPr="005656A9">
              <w:rPr>
                <w:rFonts w:ascii="宋体" w:hAnsi="宋体" w:hint="eastAsia"/>
                <w:sz w:val="22"/>
                <w:szCs w:val="22"/>
              </w:rPr>
              <w:t>业绩说明会</w:t>
            </w:r>
          </w:p>
          <w:p w:rsidR="00F81E20" w:rsidRPr="005656A9" w:rsidRDefault="00F81E20" w:rsidP="00207451">
            <w:pPr>
              <w:spacing w:line="480" w:lineRule="atLeast"/>
              <w:rPr>
                <w:rFonts w:ascii="宋体" w:hAnsi="宋体"/>
                <w:bCs/>
                <w:iCs/>
                <w:sz w:val="22"/>
                <w:szCs w:val="22"/>
              </w:rPr>
            </w:pPr>
            <w:r w:rsidRPr="005656A9">
              <w:rPr>
                <w:rFonts w:ascii="宋体" w:hAnsi="宋体" w:hint="eastAsia"/>
                <w:bCs/>
                <w:iCs/>
                <w:sz w:val="22"/>
                <w:szCs w:val="22"/>
              </w:rPr>
              <w:t>□</w:t>
            </w:r>
            <w:r w:rsidRPr="005656A9">
              <w:rPr>
                <w:rFonts w:ascii="宋体" w:hAnsi="宋体" w:hint="eastAsia"/>
                <w:sz w:val="22"/>
                <w:szCs w:val="22"/>
              </w:rPr>
              <w:t>新闻发布会</w:t>
            </w:r>
            <w:r w:rsidR="00431EEB">
              <w:rPr>
                <w:rFonts w:ascii="宋体" w:hAnsi="宋体" w:hint="eastAsia"/>
                <w:sz w:val="22"/>
                <w:szCs w:val="22"/>
              </w:rPr>
              <w:t xml:space="preserve">                             </w:t>
            </w:r>
            <w:r w:rsidR="00E94CA5" w:rsidRPr="00E94CA5">
              <w:rPr>
                <w:rFonts w:ascii="宋体" w:hAnsi="宋体" w:hint="eastAsia"/>
                <w:sz w:val="22"/>
                <w:szCs w:val="22"/>
              </w:rPr>
              <w:t>□</w:t>
            </w:r>
            <w:r w:rsidRPr="005656A9">
              <w:rPr>
                <w:rFonts w:ascii="宋体" w:hAnsi="宋体" w:hint="eastAsia"/>
                <w:sz w:val="22"/>
                <w:szCs w:val="22"/>
              </w:rPr>
              <w:t>路演活动</w:t>
            </w:r>
          </w:p>
          <w:p w:rsidR="00E67862" w:rsidRDefault="00E94CA5" w:rsidP="00E67862">
            <w:pPr>
              <w:tabs>
                <w:tab w:val="left" w:pos="3045"/>
                <w:tab w:val="center" w:pos="3199"/>
              </w:tabs>
              <w:spacing w:line="480" w:lineRule="atLeast"/>
              <w:rPr>
                <w:rFonts w:ascii="宋体" w:hAnsi="宋体"/>
                <w:bCs/>
                <w:iCs/>
                <w:sz w:val="22"/>
                <w:szCs w:val="22"/>
              </w:rPr>
            </w:pPr>
            <w:r w:rsidRPr="00E94CA5">
              <w:rPr>
                <w:rFonts w:ascii="MS Mincho" w:eastAsia="MS Mincho" w:hAnsi="MS Mincho" w:cs="MS Mincho" w:hint="eastAsia"/>
                <w:sz w:val="22"/>
                <w:szCs w:val="22"/>
              </w:rPr>
              <w:t>□</w:t>
            </w:r>
            <w:r w:rsidR="00F81E20" w:rsidRPr="005656A9">
              <w:rPr>
                <w:rFonts w:ascii="宋体" w:hAnsi="宋体" w:hint="eastAsia"/>
                <w:sz w:val="22"/>
                <w:szCs w:val="22"/>
              </w:rPr>
              <w:t>现场参观</w:t>
            </w:r>
            <w:r w:rsidR="00F81E20" w:rsidRPr="005656A9">
              <w:rPr>
                <w:rFonts w:ascii="宋体" w:hAnsi="宋体"/>
                <w:bCs/>
                <w:iCs/>
                <w:sz w:val="22"/>
                <w:szCs w:val="22"/>
              </w:rPr>
              <w:tab/>
            </w:r>
          </w:p>
          <w:p w:rsidR="00F81E20" w:rsidRPr="005656A9" w:rsidRDefault="00F81E20" w:rsidP="00E67862">
            <w:pPr>
              <w:tabs>
                <w:tab w:val="left" w:pos="3045"/>
                <w:tab w:val="center" w:pos="3199"/>
              </w:tabs>
              <w:spacing w:line="480" w:lineRule="atLeast"/>
              <w:rPr>
                <w:rFonts w:ascii="宋体" w:hAnsi="宋体"/>
                <w:bCs/>
                <w:iCs/>
                <w:sz w:val="22"/>
                <w:szCs w:val="22"/>
              </w:rPr>
            </w:pPr>
            <w:r w:rsidRPr="005656A9">
              <w:rPr>
                <w:rFonts w:ascii="宋体" w:hAnsi="宋体" w:hint="eastAsia"/>
                <w:bCs/>
                <w:iCs/>
                <w:sz w:val="22"/>
                <w:szCs w:val="22"/>
              </w:rPr>
              <w:t>□</w:t>
            </w:r>
            <w:r w:rsidRPr="005656A9">
              <w:rPr>
                <w:rFonts w:ascii="宋体" w:hAnsi="宋体" w:hint="eastAsia"/>
                <w:sz w:val="22"/>
                <w:szCs w:val="22"/>
              </w:rPr>
              <w:t>其他（</w:t>
            </w:r>
            <w:proofErr w:type="gramStart"/>
            <w:r w:rsidRPr="005656A9">
              <w:rPr>
                <w:rFonts w:ascii="宋体" w:hAnsi="宋体" w:hint="eastAsia"/>
                <w:sz w:val="22"/>
                <w:szCs w:val="22"/>
                <w:u w:val="single"/>
              </w:rPr>
              <w:t>请文字</w:t>
            </w:r>
            <w:proofErr w:type="gramEnd"/>
            <w:r w:rsidRPr="005656A9">
              <w:rPr>
                <w:rFonts w:ascii="宋体" w:hAnsi="宋体" w:hint="eastAsia"/>
                <w:sz w:val="22"/>
                <w:szCs w:val="22"/>
                <w:u w:val="single"/>
              </w:rPr>
              <w:t>说明其他活动内容）</w:t>
            </w:r>
          </w:p>
        </w:tc>
      </w:tr>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参与单位名称及人员姓名</w:t>
            </w:r>
          </w:p>
        </w:tc>
        <w:tc>
          <w:tcPr>
            <w:tcW w:w="6614" w:type="dxa"/>
            <w:shd w:val="clear" w:color="auto" w:fill="auto"/>
          </w:tcPr>
          <w:p w:rsidR="003D6169" w:rsidRPr="003148F2" w:rsidRDefault="00A85015" w:rsidP="003148F2">
            <w:pPr>
              <w:spacing w:line="480" w:lineRule="atLeast"/>
              <w:rPr>
                <w:rFonts w:ascii="宋体" w:hAnsi="宋体"/>
                <w:bCs/>
                <w:iCs/>
                <w:sz w:val="22"/>
                <w:szCs w:val="22"/>
              </w:rPr>
            </w:pPr>
            <w:r w:rsidRPr="003D6169">
              <w:rPr>
                <w:rFonts w:ascii="宋体" w:hAnsi="宋体" w:hint="eastAsia"/>
                <w:bCs/>
                <w:iCs/>
                <w:sz w:val="22"/>
                <w:szCs w:val="22"/>
              </w:rPr>
              <w:t>陶胤至 中信建设</w:t>
            </w:r>
            <w:r w:rsidR="003D6169">
              <w:rPr>
                <w:rFonts w:ascii="宋体" w:hAnsi="宋体" w:hint="eastAsia"/>
                <w:bCs/>
                <w:iCs/>
                <w:sz w:val="22"/>
                <w:szCs w:val="22"/>
              </w:rPr>
              <w:t>；</w:t>
            </w:r>
            <w:r w:rsidRPr="003D6169">
              <w:rPr>
                <w:rFonts w:ascii="宋体" w:hAnsi="宋体" w:hint="eastAsia"/>
                <w:bCs/>
                <w:iCs/>
                <w:sz w:val="22"/>
                <w:szCs w:val="22"/>
              </w:rPr>
              <w:t>徐进</w:t>
            </w:r>
            <w:r w:rsidR="003D6169">
              <w:rPr>
                <w:rFonts w:ascii="宋体" w:hAnsi="宋体"/>
                <w:bCs/>
                <w:iCs/>
                <w:sz w:val="22"/>
                <w:szCs w:val="22"/>
              </w:rPr>
              <w:t xml:space="preserve"> </w:t>
            </w:r>
            <w:r w:rsidRPr="003D6169">
              <w:rPr>
                <w:rFonts w:ascii="宋体" w:hAnsi="宋体" w:hint="eastAsia"/>
                <w:bCs/>
                <w:iCs/>
                <w:sz w:val="22"/>
                <w:szCs w:val="22"/>
              </w:rPr>
              <w:t>万家投资</w:t>
            </w:r>
            <w:r w:rsidR="003D6169">
              <w:rPr>
                <w:rFonts w:ascii="宋体" w:hAnsi="宋体" w:hint="eastAsia"/>
                <w:bCs/>
                <w:iCs/>
                <w:sz w:val="22"/>
                <w:szCs w:val="22"/>
              </w:rPr>
              <w:t>；</w:t>
            </w:r>
            <w:r w:rsidRPr="003D6169">
              <w:rPr>
                <w:rFonts w:ascii="宋体" w:hAnsi="宋体" w:hint="eastAsia"/>
                <w:bCs/>
                <w:iCs/>
                <w:sz w:val="22"/>
                <w:szCs w:val="22"/>
              </w:rPr>
              <w:t>杨欣</w:t>
            </w:r>
            <w:r w:rsidR="003D6169">
              <w:rPr>
                <w:rFonts w:ascii="宋体" w:hAnsi="宋体"/>
                <w:bCs/>
                <w:iCs/>
                <w:sz w:val="22"/>
                <w:szCs w:val="22"/>
              </w:rPr>
              <w:t xml:space="preserve"> </w:t>
            </w:r>
            <w:r w:rsidRPr="003D6169">
              <w:rPr>
                <w:rFonts w:ascii="宋体" w:hAnsi="宋体" w:hint="eastAsia"/>
                <w:bCs/>
                <w:iCs/>
                <w:sz w:val="22"/>
                <w:szCs w:val="22"/>
              </w:rPr>
              <w:t>银华基金</w:t>
            </w:r>
            <w:r w:rsidR="003D6169">
              <w:rPr>
                <w:rFonts w:ascii="宋体" w:hAnsi="宋体" w:hint="eastAsia"/>
                <w:bCs/>
                <w:iCs/>
                <w:sz w:val="22"/>
                <w:szCs w:val="22"/>
              </w:rPr>
              <w:t>；</w:t>
            </w:r>
            <w:proofErr w:type="gramStart"/>
            <w:r w:rsidRPr="003D6169">
              <w:rPr>
                <w:rFonts w:ascii="宋体" w:hAnsi="宋体" w:hint="eastAsia"/>
                <w:bCs/>
                <w:iCs/>
                <w:sz w:val="22"/>
                <w:szCs w:val="22"/>
              </w:rPr>
              <w:t>施柏均</w:t>
            </w:r>
            <w:proofErr w:type="gramEnd"/>
            <w:r w:rsidR="003D6169">
              <w:rPr>
                <w:rFonts w:ascii="宋体" w:hAnsi="宋体"/>
                <w:bCs/>
                <w:iCs/>
                <w:sz w:val="22"/>
                <w:szCs w:val="22"/>
              </w:rPr>
              <w:t xml:space="preserve"> </w:t>
            </w:r>
            <w:r w:rsidRPr="003D6169">
              <w:rPr>
                <w:rFonts w:ascii="宋体" w:hAnsi="宋体" w:hint="eastAsia"/>
                <w:bCs/>
                <w:iCs/>
                <w:sz w:val="22"/>
                <w:szCs w:val="22"/>
              </w:rPr>
              <w:t>青沣资产</w:t>
            </w:r>
            <w:r w:rsidR="003D6169">
              <w:rPr>
                <w:rFonts w:ascii="宋体" w:hAnsi="宋体" w:hint="eastAsia"/>
                <w:bCs/>
                <w:iCs/>
                <w:sz w:val="22"/>
                <w:szCs w:val="22"/>
              </w:rPr>
              <w:t>；</w:t>
            </w:r>
            <w:proofErr w:type="gramStart"/>
            <w:r w:rsidRPr="003D6169">
              <w:rPr>
                <w:rFonts w:ascii="宋体" w:hAnsi="宋体" w:hint="eastAsia"/>
                <w:bCs/>
                <w:iCs/>
                <w:sz w:val="22"/>
                <w:szCs w:val="22"/>
              </w:rPr>
              <w:t>彭</w:t>
            </w:r>
            <w:proofErr w:type="gramEnd"/>
            <w:r w:rsidRPr="003D6169">
              <w:rPr>
                <w:rFonts w:ascii="宋体" w:hAnsi="宋体" w:hint="eastAsia"/>
                <w:bCs/>
                <w:iCs/>
                <w:sz w:val="22"/>
                <w:szCs w:val="22"/>
              </w:rPr>
              <w:t>雾</w:t>
            </w:r>
            <w:r w:rsidR="003D6169">
              <w:rPr>
                <w:rFonts w:ascii="宋体" w:hAnsi="宋体"/>
                <w:bCs/>
                <w:iCs/>
                <w:sz w:val="22"/>
                <w:szCs w:val="22"/>
              </w:rPr>
              <w:t xml:space="preserve"> </w:t>
            </w:r>
            <w:r w:rsidRPr="003D6169">
              <w:rPr>
                <w:rFonts w:ascii="宋体" w:hAnsi="宋体" w:hint="eastAsia"/>
                <w:bCs/>
                <w:iCs/>
                <w:sz w:val="22"/>
                <w:szCs w:val="22"/>
              </w:rPr>
              <w:t>广发证券</w:t>
            </w:r>
            <w:r w:rsidR="003D6169">
              <w:rPr>
                <w:rFonts w:ascii="宋体" w:hAnsi="宋体" w:hint="eastAsia"/>
                <w:bCs/>
                <w:iCs/>
                <w:sz w:val="22"/>
                <w:szCs w:val="22"/>
              </w:rPr>
              <w:t>；</w:t>
            </w:r>
            <w:proofErr w:type="gramStart"/>
            <w:r w:rsidRPr="003D6169">
              <w:rPr>
                <w:rFonts w:ascii="宋体" w:hAnsi="宋体" w:hint="eastAsia"/>
                <w:bCs/>
                <w:iCs/>
                <w:sz w:val="22"/>
                <w:szCs w:val="22"/>
              </w:rPr>
              <w:t>唐弘翼</w:t>
            </w:r>
            <w:proofErr w:type="gramEnd"/>
            <w:r w:rsidRPr="003D6169">
              <w:rPr>
                <w:rFonts w:ascii="宋体" w:hAnsi="宋体" w:hint="eastAsia"/>
                <w:bCs/>
                <w:iCs/>
                <w:sz w:val="22"/>
                <w:szCs w:val="22"/>
              </w:rPr>
              <w:t xml:space="preserve"> </w:t>
            </w:r>
            <w:r w:rsidRPr="003D6169">
              <w:rPr>
                <w:rFonts w:ascii="宋体" w:hAnsi="宋体"/>
                <w:bCs/>
                <w:iCs/>
                <w:sz w:val="22"/>
                <w:szCs w:val="22"/>
              </w:rPr>
              <w:t xml:space="preserve">  </w:t>
            </w:r>
            <w:r w:rsidRPr="003D6169">
              <w:rPr>
                <w:rFonts w:ascii="宋体" w:hAnsi="宋体" w:hint="eastAsia"/>
                <w:bCs/>
                <w:iCs/>
                <w:sz w:val="22"/>
                <w:szCs w:val="22"/>
              </w:rPr>
              <w:t>国信证券</w:t>
            </w:r>
            <w:r w:rsidR="003D6169">
              <w:rPr>
                <w:rFonts w:ascii="宋体" w:hAnsi="宋体" w:hint="eastAsia"/>
                <w:bCs/>
                <w:iCs/>
                <w:sz w:val="22"/>
                <w:szCs w:val="22"/>
              </w:rPr>
              <w:t>；</w:t>
            </w:r>
            <w:r w:rsidRPr="003D6169">
              <w:rPr>
                <w:rFonts w:ascii="宋体" w:hAnsi="宋体" w:hint="eastAsia"/>
                <w:bCs/>
                <w:iCs/>
                <w:sz w:val="22"/>
                <w:szCs w:val="22"/>
              </w:rPr>
              <w:t>刘明</w:t>
            </w:r>
            <w:r w:rsidR="003D6169">
              <w:rPr>
                <w:rFonts w:ascii="宋体" w:hAnsi="宋体" w:hint="eastAsia"/>
                <w:bCs/>
                <w:iCs/>
                <w:sz w:val="22"/>
                <w:szCs w:val="22"/>
              </w:rPr>
              <w:t>、</w:t>
            </w:r>
            <w:r w:rsidR="003D6169" w:rsidRPr="003D6169">
              <w:rPr>
                <w:rFonts w:ascii="宋体" w:hAnsi="宋体" w:hint="eastAsia"/>
                <w:bCs/>
                <w:iCs/>
                <w:sz w:val="22"/>
                <w:szCs w:val="22"/>
              </w:rPr>
              <w:t>金龙</w:t>
            </w:r>
            <w:r w:rsidR="003D6169">
              <w:rPr>
                <w:rFonts w:ascii="宋体" w:hAnsi="宋体"/>
                <w:bCs/>
                <w:iCs/>
                <w:sz w:val="22"/>
                <w:szCs w:val="22"/>
              </w:rPr>
              <w:t xml:space="preserve"> </w:t>
            </w:r>
            <w:r w:rsidRPr="003D6169">
              <w:rPr>
                <w:rFonts w:ascii="宋体" w:hAnsi="宋体" w:hint="eastAsia"/>
                <w:bCs/>
                <w:iCs/>
                <w:sz w:val="22"/>
                <w:szCs w:val="22"/>
              </w:rPr>
              <w:t>东方阿尔法</w:t>
            </w:r>
            <w:r w:rsidR="003D6169">
              <w:rPr>
                <w:rFonts w:ascii="宋体" w:hAnsi="宋体" w:hint="eastAsia"/>
                <w:bCs/>
                <w:iCs/>
                <w:sz w:val="22"/>
                <w:szCs w:val="22"/>
              </w:rPr>
              <w:t>；</w:t>
            </w:r>
            <w:proofErr w:type="gramStart"/>
            <w:r w:rsidR="003D6169" w:rsidRPr="003D6169">
              <w:rPr>
                <w:rFonts w:ascii="宋体" w:hAnsi="宋体" w:hint="eastAsia"/>
                <w:bCs/>
                <w:iCs/>
                <w:sz w:val="22"/>
                <w:szCs w:val="22"/>
              </w:rPr>
              <w:t>亓</w:t>
            </w:r>
            <w:proofErr w:type="gramEnd"/>
            <w:r w:rsidR="003D6169" w:rsidRPr="003D6169">
              <w:rPr>
                <w:rFonts w:ascii="宋体" w:hAnsi="宋体" w:hint="eastAsia"/>
                <w:bCs/>
                <w:iCs/>
                <w:sz w:val="22"/>
                <w:szCs w:val="22"/>
              </w:rPr>
              <w:t>辰  易方达</w:t>
            </w:r>
            <w:r w:rsidR="003D6169">
              <w:rPr>
                <w:rFonts w:ascii="宋体" w:hAnsi="宋体" w:hint="eastAsia"/>
                <w:bCs/>
                <w:iCs/>
                <w:sz w:val="22"/>
                <w:szCs w:val="22"/>
              </w:rPr>
              <w:t>；</w:t>
            </w:r>
            <w:r w:rsidR="003D6169" w:rsidRPr="003D6169">
              <w:rPr>
                <w:rFonts w:ascii="宋体" w:hAnsi="宋体" w:hint="eastAsia"/>
                <w:bCs/>
                <w:iCs/>
                <w:sz w:val="22"/>
                <w:szCs w:val="22"/>
              </w:rPr>
              <w:tab/>
            </w:r>
            <w:proofErr w:type="gramStart"/>
            <w:r w:rsidR="003D6169" w:rsidRPr="003D6169">
              <w:rPr>
                <w:rFonts w:ascii="宋体" w:hAnsi="宋体" w:hint="eastAsia"/>
                <w:bCs/>
                <w:iCs/>
                <w:sz w:val="22"/>
                <w:szCs w:val="22"/>
              </w:rPr>
              <w:t>江政琦</w:t>
            </w:r>
            <w:proofErr w:type="gramEnd"/>
            <w:r w:rsidR="003D6169" w:rsidRPr="003D6169">
              <w:rPr>
                <w:rFonts w:ascii="宋体" w:hAnsi="宋体" w:hint="eastAsia"/>
                <w:bCs/>
                <w:iCs/>
                <w:sz w:val="22"/>
                <w:szCs w:val="22"/>
              </w:rPr>
              <w:t xml:space="preserve">  </w:t>
            </w:r>
            <w:proofErr w:type="gramStart"/>
            <w:r w:rsidR="003D6169" w:rsidRPr="003D6169">
              <w:rPr>
                <w:rFonts w:ascii="宋体" w:hAnsi="宋体" w:hint="eastAsia"/>
                <w:bCs/>
                <w:iCs/>
                <w:sz w:val="22"/>
                <w:szCs w:val="22"/>
              </w:rPr>
              <w:t>安信农</w:t>
            </w:r>
            <w:proofErr w:type="gramEnd"/>
            <w:r w:rsidR="003D6169" w:rsidRPr="003D6169">
              <w:rPr>
                <w:rFonts w:ascii="宋体" w:hAnsi="宋体" w:hint="eastAsia"/>
                <w:bCs/>
                <w:iCs/>
                <w:sz w:val="22"/>
                <w:szCs w:val="22"/>
              </w:rPr>
              <w:t>保</w:t>
            </w:r>
            <w:r w:rsidR="003D6169">
              <w:rPr>
                <w:rFonts w:ascii="宋体" w:hAnsi="宋体" w:hint="eastAsia"/>
                <w:bCs/>
                <w:iCs/>
                <w:sz w:val="22"/>
                <w:szCs w:val="22"/>
              </w:rPr>
              <w:t>；</w:t>
            </w:r>
            <w:r w:rsidR="003D6169" w:rsidRPr="003D6169">
              <w:rPr>
                <w:rFonts w:ascii="宋体" w:hAnsi="宋体" w:hint="eastAsia"/>
                <w:bCs/>
                <w:iCs/>
                <w:sz w:val="22"/>
                <w:szCs w:val="22"/>
              </w:rPr>
              <w:t>冯明远信</w:t>
            </w:r>
            <w:proofErr w:type="gramStart"/>
            <w:r w:rsidR="003D6169" w:rsidRPr="003D6169">
              <w:rPr>
                <w:rFonts w:ascii="宋体" w:hAnsi="宋体" w:hint="eastAsia"/>
                <w:bCs/>
                <w:iCs/>
                <w:sz w:val="22"/>
                <w:szCs w:val="22"/>
              </w:rPr>
              <w:t>达澳银</w:t>
            </w:r>
            <w:proofErr w:type="gramEnd"/>
            <w:r w:rsidR="003D6169">
              <w:rPr>
                <w:rFonts w:ascii="宋体" w:hAnsi="宋体" w:hint="eastAsia"/>
                <w:bCs/>
                <w:iCs/>
                <w:sz w:val="22"/>
                <w:szCs w:val="22"/>
              </w:rPr>
              <w:t>；</w:t>
            </w:r>
            <w:r w:rsidR="003D6169" w:rsidRPr="003D6169">
              <w:rPr>
                <w:rFonts w:ascii="宋体" w:hAnsi="宋体" w:hint="eastAsia"/>
                <w:bCs/>
                <w:iCs/>
                <w:sz w:val="22"/>
                <w:szCs w:val="22"/>
              </w:rPr>
              <w:tab/>
              <w:t>苏晓伟 重器资产</w:t>
            </w:r>
            <w:r w:rsidR="003D6169">
              <w:rPr>
                <w:rFonts w:ascii="宋体" w:hAnsi="宋体" w:hint="eastAsia"/>
                <w:bCs/>
                <w:iCs/>
                <w:sz w:val="22"/>
                <w:szCs w:val="22"/>
              </w:rPr>
              <w:t>；</w:t>
            </w:r>
            <w:r w:rsidR="003D6169" w:rsidRPr="003D6169">
              <w:rPr>
                <w:rFonts w:ascii="宋体" w:hAnsi="宋体" w:hint="eastAsia"/>
                <w:bCs/>
                <w:iCs/>
                <w:sz w:val="22"/>
                <w:szCs w:val="22"/>
              </w:rPr>
              <w:t>李子扬</w:t>
            </w:r>
            <w:r w:rsidR="003D6169">
              <w:rPr>
                <w:rFonts w:ascii="宋体" w:hAnsi="宋体" w:hint="eastAsia"/>
                <w:bCs/>
                <w:iCs/>
                <w:sz w:val="22"/>
                <w:szCs w:val="22"/>
              </w:rPr>
              <w:t xml:space="preserve"> </w:t>
            </w:r>
            <w:r w:rsidR="003D6169" w:rsidRPr="003D6169">
              <w:rPr>
                <w:rFonts w:ascii="宋体" w:hAnsi="宋体" w:hint="eastAsia"/>
                <w:bCs/>
                <w:iCs/>
                <w:sz w:val="22"/>
                <w:szCs w:val="22"/>
              </w:rPr>
              <w:t>合</w:t>
            </w:r>
            <w:proofErr w:type="gramStart"/>
            <w:r w:rsidR="003D6169" w:rsidRPr="003D6169">
              <w:rPr>
                <w:rFonts w:ascii="宋体" w:hAnsi="宋体" w:hint="eastAsia"/>
                <w:bCs/>
                <w:iCs/>
                <w:sz w:val="22"/>
                <w:szCs w:val="22"/>
              </w:rPr>
              <w:t>煦</w:t>
            </w:r>
            <w:proofErr w:type="gramEnd"/>
            <w:r w:rsidR="003D6169" w:rsidRPr="003D6169">
              <w:rPr>
                <w:rFonts w:ascii="宋体" w:hAnsi="宋体" w:hint="eastAsia"/>
                <w:bCs/>
                <w:iCs/>
                <w:sz w:val="22"/>
                <w:szCs w:val="22"/>
              </w:rPr>
              <w:t>智远</w:t>
            </w:r>
            <w:r w:rsidR="003D6169">
              <w:rPr>
                <w:rFonts w:ascii="宋体" w:hAnsi="宋体" w:hint="eastAsia"/>
                <w:bCs/>
                <w:iCs/>
                <w:sz w:val="22"/>
                <w:szCs w:val="22"/>
              </w:rPr>
              <w:t>；</w:t>
            </w:r>
            <w:r w:rsidR="003D6169" w:rsidRPr="003D6169">
              <w:rPr>
                <w:rFonts w:ascii="宋体" w:hAnsi="宋体" w:hint="eastAsia"/>
                <w:bCs/>
                <w:iCs/>
                <w:sz w:val="22"/>
                <w:szCs w:val="22"/>
              </w:rPr>
              <w:t xml:space="preserve">曹佳、李委驰 </w:t>
            </w:r>
            <w:proofErr w:type="gramStart"/>
            <w:r w:rsidR="003D6169" w:rsidRPr="003D6169">
              <w:rPr>
                <w:rFonts w:ascii="宋体" w:hAnsi="宋体" w:hint="eastAsia"/>
                <w:bCs/>
                <w:iCs/>
                <w:sz w:val="22"/>
                <w:szCs w:val="22"/>
              </w:rPr>
              <w:t>钜</w:t>
            </w:r>
            <w:proofErr w:type="gramEnd"/>
            <w:r w:rsidR="003D6169" w:rsidRPr="003D6169">
              <w:rPr>
                <w:rFonts w:ascii="宋体" w:hAnsi="宋体" w:hint="eastAsia"/>
                <w:bCs/>
                <w:iCs/>
                <w:sz w:val="22"/>
                <w:szCs w:val="22"/>
              </w:rPr>
              <w:t>洲投资</w:t>
            </w:r>
            <w:r w:rsidR="003D6169">
              <w:rPr>
                <w:rFonts w:ascii="宋体" w:hAnsi="宋体" w:hint="eastAsia"/>
                <w:bCs/>
                <w:iCs/>
                <w:sz w:val="22"/>
                <w:szCs w:val="22"/>
              </w:rPr>
              <w:t>；</w:t>
            </w:r>
            <w:proofErr w:type="gramStart"/>
            <w:r w:rsidR="003D6169" w:rsidRPr="003D6169">
              <w:rPr>
                <w:rFonts w:ascii="宋体" w:hAnsi="宋体" w:hint="eastAsia"/>
                <w:bCs/>
                <w:iCs/>
                <w:sz w:val="22"/>
                <w:szCs w:val="22"/>
              </w:rPr>
              <w:t>刘翔</w:t>
            </w:r>
            <w:proofErr w:type="gramEnd"/>
            <w:r w:rsidR="003D6169" w:rsidRPr="003D6169">
              <w:rPr>
                <w:rFonts w:ascii="宋体" w:hAnsi="宋体" w:hint="eastAsia"/>
                <w:bCs/>
                <w:iCs/>
                <w:sz w:val="22"/>
                <w:szCs w:val="22"/>
              </w:rPr>
              <w:t xml:space="preserve">    天平洋证券</w:t>
            </w:r>
            <w:r w:rsidR="003D6169">
              <w:rPr>
                <w:rFonts w:ascii="宋体" w:hAnsi="宋体" w:hint="eastAsia"/>
                <w:bCs/>
                <w:iCs/>
                <w:sz w:val="22"/>
                <w:szCs w:val="22"/>
              </w:rPr>
              <w:t>；</w:t>
            </w:r>
            <w:proofErr w:type="gramStart"/>
            <w:r w:rsidR="003D6169" w:rsidRPr="003D6169">
              <w:rPr>
                <w:rFonts w:ascii="宋体" w:hAnsi="宋体" w:hint="eastAsia"/>
                <w:bCs/>
                <w:iCs/>
                <w:sz w:val="22"/>
                <w:szCs w:val="22"/>
              </w:rPr>
              <w:t>王谋</w:t>
            </w:r>
            <w:proofErr w:type="gramEnd"/>
            <w:r w:rsidR="003D6169">
              <w:rPr>
                <w:rFonts w:ascii="宋体" w:hAnsi="宋体"/>
                <w:bCs/>
                <w:iCs/>
                <w:sz w:val="22"/>
                <w:szCs w:val="22"/>
              </w:rPr>
              <w:t xml:space="preserve"> </w:t>
            </w:r>
            <w:r w:rsidR="003D6169" w:rsidRPr="003D6169">
              <w:rPr>
                <w:rFonts w:ascii="宋体" w:hAnsi="宋体" w:hint="eastAsia"/>
                <w:bCs/>
                <w:iCs/>
                <w:sz w:val="22"/>
                <w:szCs w:val="22"/>
              </w:rPr>
              <w:t>博时基金</w:t>
            </w:r>
            <w:r w:rsidR="003D6169">
              <w:rPr>
                <w:rFonts w:ascii="宋体" w:hAnsi="宋体" w:hint="eastAsia"/>
                <w:bCs/>
                <w:iCs/>
                <w:sz w:val="22"/>
                <w:szCs w:val="22"/>
              </w:rPr>
              <w:t>；</w:t>
            </w:r>
            <w:r w:rsidR="003D6169" w:rsidRPr="003D6169">
              <w:rPr>
                <w:rFonts w:ascii="宋体" w:hAnsi="宋体" w:hint="eastAsia"/>
                <w:bCs/>
                <w:iCs/>
                <w:sz w:val="22"/>
                <w:szCs w:val="22"/>
              </w:rPr>
              <w:t>张雪薇</w:t>
            </w:r>
            <w:r w:rsidR="003148F2">
              <w:rPr>
                <w:rFonts w:ascii="宋体" w:hAnsi="宋体"/>
                <w:bCs/>
                <w:iCs/>
                <w:sz w:val="22"/>
                <w:szCs w:val="22"/>
              </w:rPr>
              <w:t xml:space="preserve"> </w:t>
            </w:r>
            <w:r w:rsidR="003D6169" w:rsidRPr="003D6169">
              <w:rPr>
                <w:rFonts w:ascii="宋体" w:hAnsi="宋体" w:hint="eastAsia"/>
                <w:bCs/>
                <w:iCs/>
                <w:sz w:val="22"/>
                <w:szCs w:val="22"/>
              </w:rPr>
              <w:t>景顺长城</w:t>
            </w:r>
            <w:r w:rsidR="003148F2">
              <w:rPr>
                <w:rFonts w:ascii="宋体" w:hAnsi="宋体" w:hint="eastAsia"/>
                <w:bCs/>
                <w:iCs/>
                <w:sz w:val="22"/>
                <w:szCs w:val="22"/>
              </w:rPr>
              <w:t>；</w:t>
            </w:r>
            <w:r w:rsidR="003D6169" w:rsidRPr="003D6169">
              <w:rPr>
                <w:rFonts w:ascii="宋体" w:hAnsi="宋体" w:hint="eastAsia"/>
                <w:bCs/>
                <w:iCs/>
                <w:sz w:val="22"/>
                <w:szCs w:val="22"/>
              </w:rPr>
              <w:t>刘旭 泰康资产</w:t>
            </w:r>
            <w:r w:rsidR="003148F2">
              <w:rPr>
                <w:rFonts w:ascii="宋体" w:hAnsi="宋体" w:hint="eastAsia"/>
                <w:bCs/>
                <w:iCs/>
                <w:sz w:val="22"/>
                <w:szCs w:val="22"/>
              </w:rPr>
              <w:t>，共19家机构。</w:t>
            </w:r>
          </w:p>
        </w:tc>
      </w:tr>
      <w:tr w:rsidR="00F81E20" w:rsidRPr="005656A9" w:rsidTr="00E94CA5">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时间</w:t>
            </w:r>
          </w:p>
        </w:tc>
        <w:tc>
          <w:tcPr>
            <w:tcW w:w="6614" w:type="dxa"/>
            <w:shd w:val="clear" w:color="auto" w:fill="auto"/>
            <w:vAlign w:val="center"/>
          </w:tcPr>
          <w:p w:rsidR="00F81E20" w:rsidRPr="005656A9" w:rsidRDefault="00143463">
            <w:pPr>
              <w:spacing w:line="480" w:lineRule="atLeast"/>
              <w:rPr>
                <w:rFonts w:ascii="宋体" w:hAnsi="宋体"/>
                <w:bCs/>
                <w:iCs/>
                <w:sz w:val="22"/>
                <w:szCs w:val="22"/>
              </w:rPr>
            </w:pPr>
            <w:r>
              <w:rPr>
                <w:rFonts w:ascii="宋体" w:hAnsi="宋体" w:hint="eastAsia"/>
                <w:bCs/>
                <w:iCs/>
                <w:sz w:val="22"/>
                <w:szCs w:val="22"/>
              </w:rPr>
              <w:t>201</w:t>
            </w:r>
            <w:r w:rsidR="00E94CA5">
              <w:rPr>
                <w:rFonts w:ascii="宋体" w:hAnsi="宋体" w:hint="eastAsia"/>
                <w:bCs/>
                <w:iCs/>
                <w:sz w:val="22"/>
                <w:szCs w:val="22"/>
              </w:rPr>
              <w:t>9</w:t>
            </w:r>
            <w:r w:rsidR="003C45B4">
              <w:rPr>
                <w:rFonts w:ascii="宋体" w:hAnsi="宋体" w:hint="eastAsia"/>
                <w:bCs/>
                <w:iCs/>
                <w:sz w:val="22"/>
                <w:szCs w:val="22"/>
              </w:rPr>
              <w:t>年</w:t>
            </w:r>
            <w:r w:rsidR="00E94CA5">
              <w:rPr>
                <w:rFonts w:ascii="宋体" w:hAnsi="宋体" w:hint="eastAsia"/>
                <w:bCs/>
                <w:iCs/>
                <w:sz w:val="22"/>
                <w:szCs w:val="22"/>
              </w:rPr>
              <w:t>1</w:t>
            </w:r>
            <w:r w:rsidR="003C45B4">
              <w:rPr>
                <w:rFonts w:ascii="宋体" w:hAnsi="宋体" w:hint="eastAsia"/>
                <w:bCs/>
                <w:iCs/>
                <w:sz w:val="22"/>
                <w:szCs w:val="22"/>
              </w:rPr>
              <w:t>月</w:t>
            </w:r>
            <w:r w:rsidR="00E94CA5">
              <w:rPr>
                <w:rFonts w:ascii="宋体" w:hAnsi="宋体" w:hint="eastAsia"/>
                <w:bCs/>
                <w:iCs/>
                <w:sz w:val="22"/>
                <w:szCs w:val="22"/>
              </w:rPr>
              <w:t>9</w:t>
            </w:r>
            <w:r w:rsidR="003C45B4">
              <w:rPr>
                <w:rFonts w:ascii="宋体" w:hAnsi="宋体" w:hint="eastAsia"/>
                <w:bCs/>
                <w:iCs/>
                <w:sz w:val="22"/>
                <w:szCs w:val="22"/>
              </w:rPr>
              <w:t>日</w:t>
            </w:r>
          </w:p>
        </w:tc>
      </w:tr>
      <w:tr w:rsidR="00F81E20" w:rsidRPr="005656A9" w:rsidTr="00E94CA5">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地点</w:t>
            </w:r>
          </w:p>
        </w:tc>
        <w:tc>
          <w:tcPr>
            <w:tcW w:w="6614" w:type="dxa"/>
            <w:shd w:val="clear" w:color="auto" w:fill="auto"/>
            <w:vAlign w:val="center"/>
          </w:tcPr>
          <w:p w:rsidR="00F81E20" w:rsidRPr="005656A9" w:rsidRDefault="003C45B4" w:rsidP="006B0E51">
            <w:pPr>
              <w:spacing w:line="480" w:lineRule="atLeast"/>
              <w:rPr>
                <w:rFonts w:ascii="宋体" w:hAnsi="宋体"/>
                <w:bCs/>
                <w:iCs/>
                <w:sz w:val="22"/>
                <w:szCs w:val="22"/>
              </w:rPr>
            </w:pPr>
            <w:r>
              <w:rPr>
                <w:rFonts w:ascii="宋体" w:hAnsi="宋体" w:hint="eastAsia"/>
                <w:bCs/>
                <w:iCs/>
                <w:sz w:val="22"/>
                <w:szCs w:val="22"/>
              </w:rPr>
              <w:t>中山市小</w:t>
            </w:r>
            <w:proofErr w:type="gramStart"/>
            <w:r>
              <w:rPr>
                <w:rFonts w:ascii="宋体" w:hAnsi="宋体" w:hint="eastAsia"/>
                <w:bCs/>
                <w:iCs/>
                <w:sz w:val="22"/>
                <w:szCs w:val="22"/>
              </w:rPr>
              <w:t>榄</w:t>
            </w:r>
            <w:proofErr w:type="gramEnd"/>
            <w:r>
              <w:rPr>
                <w:rFonts w:ascii="宋体" w:hAnsi="宋体" w:hint="eastAsia"/>
                <w:bCs/>
                <w:iCs/>
                <w:sz w:val="22"/>
                <w:szCs w:val="22"/>
              </w:rPr>
              <w:t>镇木林森</w:t>
            </w:r>
            <w:r w:rsidR="000B5AB9">
              <w:rPr>
                <w:rFonts w:ascii="宋体" w:hAnsi="宋体" w:hint="eastAsia"/>
                <w:bCs/>
                <w:iCs/>
                <w:sz w:val="22"/>
                <w:szCs w:val="22"/>
              </w:rPr>
              <w:t>大道</w:t>
            </w:r>
            <w:r>
              <w:rPr>
                <w:rFonts w:ascii="宋体" w:hAnsi="宋体" w:hint="eastAsia"/>
                <w:bCs/>
                <w:iCs/>
                <w:sz w:val="22"/>
                <w:szCs w:val="22"/>
              </w:rPr>
              <w:t>1号</w:t>
            </w:r>
            <w:r w:rsidR="007B6C95">
              <w:rPr>
                <w:rFonts w:ascii="宋体" w:hAnsi="宋体"/>
                <w:bCs/>
                <w:iCs/>
                <w:sz w:val="22"/>
                <w:szCs w:val="22"/>
              </w:rPr>
              <w:t>1</w:t>
            </w:r>
            <w:r>
              <w:rPr>
                <w:rFonts w:ascii="宋体" w:hAnsi="宋体" w:hint="eastAsia"/>
                <w:bCs/>
                <w:iCs/>
                <w:sz w:val="22"/>
                <w:szCs w:val="22"/>
              </w:rPr>
              <w:t>楼会议室</w:t>
            </w:r>
          </w:p>
        </w:tc>
      </w:tr>
      <w:tr w:rsidR="00F81E20" w:rsidRPr="005656A9" w:rsidTr="00E94CA5">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上市公司接待人员姓名</w:t>
            </w:r>
          </w:p>
        </w:tc>
        <w:tc>
          <w:tcPr>
            <w:tcW w:w="6614" w:type="dxa"/>
            <w:shd w:val="clear" w:color="auto" w:fill="auto"/>
            <w:vAlign w:val="center"/>
          </w:tcPr>
          <w:p w:rsidR="00F81E20" w:rsidRPr="006B0E51" w:rsidRDefault="00143463">
            <w:pPr>
              <w:spacing w:line="360" w:lineRule="auto"/>
              <w:rPr>
                <w:rFonts w:ascii="宋体" w:hAnsi="宋体"/>
                <w:bCs/>
                <w:iCs/>
                <w:szCs w:val="21"/>
              </w:rPr>
            </w:pPr>
            <w:r>
              <w:rPr>
                <w:rFonts w:ascii="宋体" w:hAnsi="宋体" w:hint="eastAsia"/>
                <w:bCs/>
                <w:iCs/>
                <w:szCs w:val="21"/>
              </w:rPr>
              <w:t>董事长孙清焕、财务总监易亚男、董事会秘书李冠群</w:t>
            </w:r>
          </w:p>
        </w:tc>
      </w:tr>
      <w:tr w:rsidR="00F81E20" w:rsidRPr="005656A9" w:rsidTr="00207451">
        <w:trPr>
          <w:trHeight w:val="1757"/>
        </w:trPr>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投资者关系活动主要内容介绍</w:t>
            </w:r>
          </w:p>
          <w:p w:rsidR="00F81E20" w:rsidRPr="005656A9" w:rsidRDefault="00F81E20" w:rsidP="00207451">
            <w:pPr>
              <w:spacing w:line="480" w:lineRule="atLeast"/>
              <w:rPr>
                <w:rFonts w:ascii="宋体" w:hAnsi="宋体"/>
                <w:b/>
                <w:bCs/>
                <w:iCs/>
                <w:sz w:val="22"/>
                <w:szCs w:val="22"/>
              </w:rPr>
            </w:pPr>
          </w:p>
        </w:tc>
        <w:tc>
          <w:tcPr>
            <w:tcW w:w="6614" w:type="dxa"/>
            <w:shd w:val="clear" w:color="auto" w:fill="auto"/>
          </w:tcPr>
          <w:p w:rsidR="003148F2" w:rsidRDefault="007F1946" w:rsidP="00B4327A">
            <w:pPr>
              <w:spacing w:line="360" w:lineRule="auto"/>
              <w:ind w:firstLineChars="200" w:firstLine="422"/>
              <w:rPr>
                <w:rFonts w:asciiTheme="minorEastAsia" w:eastAsiaTheme="minorEastAsia" w:hAnsiTheme="minorEastAsia"/>
                <w:b/>
                <w:bCs/>
                <w:iCs/>
                <w:szCs w:val="21"/>
              </w:rPr>
            </w:pPr>
            <w:r w:rsidRPr="00B4327A">
              <w:rPr>
                <w:rFonts w:asciiTheme="minorEastAsia" w:eastAsiaTheme="minorEastAsia" w:hAnsiTheme="minorEastAsia" w:hint="eastAsia"/>
                <w:b/>
                <w:bCs/>
                <w:iCs/>
                <w:szCs w:val="21"/>
              </w:rPr>
              <w:t>问题</w:t>
            </w:r>
            <w:r w:rsidR="00AD37B3" w:rsidRPr="00B4327A">
              <w:rPr>
                <w:rFonts w:asciiTheme="minorEastAsia" w:eastAsiaTheme="minorEastAsia" w:hAnsiTheme="minorEastAsia" w:hint="eastAsia"/>
                <w:b/>
                <w:bCs/>
                <w:iCs/>
                <w:szCs w:val="21"/>
              </w:rPr>
              <w:t>1、</w:t>
            </w:r>
            <w:r w:rsidR="003148F2" w:rsidRPr="003148F2">
              <w:rPr>
                <w:rFonts w:asciiTheme="minorEastAsia" w:eastAsiaTheme="minorEastAsia" w:hAnsiTheme="minorEastAsia" w:hint="eastAsia"/>
                <w:b/>
                <w:bCs/>
                <w:iCs/>
                <w:szCs w:val="21"/>
              </w:rPr>
              <w:t>主营业务在行业处于什么阶段，未来的格局怎么变化，木林森未来在行业的变化的位置？</w:t>
            </w:r>
          </w:p>
          <w:p w:rsidR="00254CC9" w:rsidRPr="00BF52F9" w:rsidRDefault="00075926" w:rsidP="00B4327A">
            <w:pPr>
              <w:spacing w:line="360" w:lineRule="auto"/>
              <w:ind w:firstLineChars="200" w:firstLine="420"/>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回</w:t>
            </w:r>
            <w:r w:rsidR="006B0E51" w:rsidRPr="00BF52F9">
              <w:rPr>
                <w:rFonts w:asciiTheme="minorEastAsia" w:eastAsiaTheme="minorEastAsia" w:hAnsiTheme="minorEastAsia" w:hint="eastAsia"/>
                <w:bCs/>
                <w:iCs/>
                <w:szCs w:val="21"/>
              </w:rPr>
              <w:t>答：</w:t>
            </w:r>
            <w:r w:rsidR="003148F2" w:rsidRPr="003148F2">
              <w:rPr>
                <w:rFonts w:asciiTheme="minorEastAsia" w:eastAsiaTheme="minorEastAsia" w:hAnsiTheme="minorEastAsia" w:hint="eastAsia"/>
                <w:bCs/>
                <w:iCs/>
                <w:szCs w:val="21"/>
              </w:rPr>
              <w:t>原来木林森的主业主要是封装，朗德万斯整合</w:t>
            </w:r>
            <w:r w:rsidR="005E77D1">
              <w:rPr>
                <w:rFonts w:asciiTheme="minorEastAsia" w:eastAsiaTheme="minorEastAsia" w:hAnsiTheme="minorEastAsia" w:hint="eastAsia"/>
                <w:bCs/>
                <w:iCs/>
                <w:szCs w:val="21"/>
              </w:rPr>
              <w:t>并入</w:t>
            </w:r>
            <w:r w:rsidR="003148F2" w:rsidRPr="003148F2">
              <w:rPr>
                <w:rFonts w:asciiTheme="minorEastAsia" w:eastAsiaTheme="minorEastAsia" w:hAnsiTheme="minorEastAsia" w:hint="eastAsia"/>
                <w:bCs/>
                <w:iCs/>
                <w:szCs w:val="21"/>
              </w:rPr>
              <w:t>上市公司以后，公司分两个主要的板块，个人的定义一个板块为制造板块，另一个板块为品牌渠道，首先制造板块建立在封装领域的多年布局，在LED这个行业，产品能够多样化</w:t>
            </w:r>
            <w:r w:rsidR="003148F2">
              <w:rPr>
                <w:rFonts w:asciiTheme="minorEastAsia" w:eastAsiaTheme="minorEastAsia" w:hAnsiTheme="minorEastAsia" w:hint="eastAsia"/>
                <w:bCs/>
                <w:iCs/>
                <w:szCs w:val="21"/>
              </w:rPr>
              <w:t>。</w:t>
            </w:r>
            <w:r w:rsidR="008922FB">
              <w:rPr>
                <w:rFonts w:asciiTheme="minorEastAsia" w:hAnsiTheme="minorEastAsia" w:hint="eastAsia"/>
                <w:bCs/>
                <w:iCs/>
              </w:rPr>
              <w:t>制造板块</w:t>
            </w:r>
            <w:r w:rsidR="003148F2" w:rsidRPr="00005E87">
              <w:rPr>
                <w:rFonts w:ascii="宋体" w:hAnsi="宋体" w:hint="eastAsia"/>
              </w:rPr>
              <w:t>未来主要是围绕灯珠、线路板及电源控制这三大部分。另一个板块品牌渠道很大的程度上带动木林森的制造板块，2</w:t>
            </w:r>
            <w:r w:rsidR="003148F2" w:rsidRPr="00005E87">
              <w:rPr>
                <w:rFonts w:ascii="宋体" w:hAnsi="宋体"/>
              </w:rPr>
              <w:t>018</w:t>
            </w:r>
            <w:r w:rsidR="003148F2" w:rsidRPr="00005E87">
              <w:rPr>
                <w:rFonts w:ascii="宋体" w:hAnsi="宋体" w:hint="eastAsia"/>
              </w:rPr>
              <w:t>年第四季度，两个板块的联动效应开始体现。主要是通过经营理念的磨合，加强产品的标准化，降低生产成本</w:t>
            </w:r>
            <w:r w:rsidR="00412B9A">
              <w:rPr>
                <w:rFonts w:ascii="宋体" w:hAnsi="宋体" w:hint="eastAsia"/>
              </w:rPr>
              <w:t>。</w:t>
            </w:r>
            <w:r w:rsidR="003148F2" w:rsidRPr="00005E87">
              <w:rPr>
                <w:rFonts w:ascii="宋体" w:hAnsi="宋体" w:hint="eastAsia"/>
              </w:rPr>
              <w:lastRenderedPageBreak/>
              <w:t>同时，也与国外的大的光源厂商有了更好</w:t>
            </w:r>
            <w:bookmarkStart w:id="0" w:name="_GoBack"/>
            <w:bookmarkEnd w:id="0"/>
            <w:r w:rsidR="003148F2" w:rsidRPr="00005E87">
              <w:rPr>
                <w:rFonts w:ascii="宋体" w:hAnsi="宋体" w:hint="eastAsia"/>
              </w:rPr>
              <w:t>的合作，在品质和供应上得到充分的保障，竞争力也进一步提升。</w:t>
            </w:r>
          </w:p>
          <w:p w:rsidR="006B0E51" w:rsidRPr="00B4327A" w:rsidRDefault="000D5214" w:rsidP="005E77D1">
            <w:pPr>
              <w:spacing w:line="360" w:lineRule="auto"/>
              <w:ind w:firstLineChars="200" w:firstLine="422"/>
              <w:rPr>
                <w:rFonts w:asciiTheme="minorEastAsia" w:eastAsiaTheme="minorEastAsia" w:hAnsiTheme="minorEastAsia"/>
                <w:b/>
                <w:bCs/>
                <w:iCs/>
                <w:szCs w:val="21"/>
              </w:rPr>
            </w:pPr>
            <w:r w:rsidRPr="00B4327A">
              <w:rPr>
                <w:rFonts w:asciiTheme="minorEastAsia" w:eastAsiaTheme="minorEastAsia" w:hAnsiTheme="minorEastAsia" w:hint="eastAsia"/>
                <w:b/>
                <w:bCs/>
                <w:iCs/>
                <w:szCs w:val="21"/>
              </w:rPr>
              <w:t>问题</w:t>
            </w:r>
            <w:r w:rsidR="006B0E51" w:rsidRPr="00B4327A">
              <w:rPr>
                <w:rFonts w:asciiTheme="minorEastAsia" w:eastAsiaTheme="minorEastAsia" w:hAnsiTheme="minorEastAsia" w:hint="eastAsia"/>
                <w:b/>
                <w:bCs/>
                <w:iCs/>
                <w:szCs w:val="21"/>
              </w:rPr>
              <w:t>2、</w:t>
            </w:r>
            <w:r w:rsidR="003148F2" w:rsidRPr="003148F2">
              <w:rPr>
                <w:rFonts w:asciiTheme="minorEastAsia" w:eastAsiaTheme="minorEastAsia" w:hAnsiTheme="minorEastAsia" w:hint="eastAsia"/>
                <w:b/>
                <w:bCs/>
                <w:iCs/>
                <w:szCs w:val="21"/>
              </w:rPr>
              <w:t>目前阶段性的有些困难，未来一年有哪些困难，如何应对这些困难？</w:t>
            </w:r>
          </w:p>
          <w:p w:rsidR="006B0E51" w:rsidRPr="00BF52F9" w:rsidRDefault="000D5214" w:rsidP="00B4327A">
            <w:pPr>
              <w:spacing w:line="360" w:lineRule="auto"/>
              <w:ind w:firstLineChars="200" w:firstLine="420"/>
              <w:rPr>
                <w:rFonts w:asciiTheme="minorEastAsia" w:eastAsiaTheme="minorEastAsia" w:hAnsiTheme="minorEastAsia"/>
                <w:color w:val="FF0000"/>
                <w:szCs w:val="21"/>
              </w:rPr>
            </w:pPr>
            <w:r w:rsidRPr="00BF52F9">
              <w:rPr>
                <w:rFonts w:asciiTheme="minorEastAsia" w:eastAsiaTheme="minorEastAsia" w:hAnsiTheme="minorEastAsia" w:hint="eastAsia"/>
                <w:bCs/>
                <w:iCs/>
                <w:szCs w:val="21"/>
              </w:rPr>
              <w:t>回</w:t>
            </w:r>
            <w:r w:rsidR="006B0E51" w:rsidRPr="00BF52F9">
              <w:rPr>
                <w:rFonts w:asciiTheme="minorEastAsia" w:eastAsiaTheme="minorEastAsia" w:hAnsiTheme="minorEastAsia" w:hint="eastAsia"/>
                <w:bCs/>
                <w:iCs/>
                <w:szCs w:val="21"/>
              </w:rPr>
              <w:t>答：</w:t>
            </w:r>
            <w:r w:rsidR="003148F2" w:rsidRPr="003148F2">
              <w:rPr>
                <w:rFonts w:asciiTheme="minorEastAsia" w:eastAsiaTheme="minorEastAsia" w:hAnsiTheme="minorEastAsia" w:hint="eastAsia"/>
                <w:bCs/>
                <w:iCs/>
                <w:szCs w:val="21"/>
              </w:rPr>
              <w:t>2018年受到大环境的影响，总需求在大环境的变化下有所放缓，芯片产能过剩，导致照明产品价格竞争较大。应对的措施：充分利用现有的设备和厂房，对固定资产的投入进行控制与调整。按照现有的市场，公司未来在小间距的显示屏</w:t>
            </w:r>
            <w:r w:rsidR="000C668C">
              <w:rPr>
                <w:rFonts w:asciiTheme="minorEastAsia" w:eastAsiaTheme="minorEastAsia" w:hAnsiTheme="minorEastAsia" w:hint="eastAsia"/>
                <w:bCs/>
                <w:iCs/>
                <w:szCs w:val="21"/>
              </w:rPr>
              <w:t>灯珠</w:t>
            </w:r>
            <w:r w:rsidR="003148F2" w:rsidRPr="003148F2">
              <w:rPr>
                <w:rFonts w:asciiTheme="minorEastAsia" w:eastAsiaTheme="minorEastAsia" w:hAnsiTheme="minorEastAsia" w:hint="eastAsia"/>
                <w:bCs/>
                <w:iCs/>
                <w:szCs w:val="21"/>
              </w:rPr>
              <w:t>封装通过技术的革新，</w:t>
            </w:r>
            <w:r w:rsidR="003148F2">
              <w:rPr>
                <w:rFonts w:asciiTheme="minorEastAsia" w:eastAsiaTheme="minorEastAsia" w:hAnsiTheme="minorEastAsia" w:hint="eastAsia"/>
                <w:bCs/>
                <w:iCs/>
                <w:szCs w:val="21"/>
              </w:rPr>
              <w:t>来应对预期的困难，</w:t>
            </w:r>
            <w:r w:rsidR="003148F2" w:rsidRPr="003148F2">
              <w:rPr>
                <w:rFonts w:asciiTheme="minorEastAsia" w:eastAsiaTheme="minorEastAsia" w:hAnsiTheme="minorEastAsia" w:hint="eastAsia"/>
                <w:bCs/>
                <w:iCs/>
                <w:szCs w:val="21"/>
              </w:rPr>
              <w:t>白光方面维持稳定的产量，并且</w:t>
            </w:r>
            <w:r w:rsidR="003148F2">
              <w:rPr>
                <w:rFonts w:asciiTheme="minorEastAsia" w:eastAsiaTheme="minorEastAsia" w:hAnsiTheme="minorEastAsia" w:hint="eastAsia"/>
                <w:bCs/>
                <w:iCs/>
                <w:szCs w:val="21"/>
              </w:rPr>
              <w:t>还</w:t>
            </w:r>
            <w:r w:rsidR="003148F2" w:rsidRPr="003148F2">
              <w:rPr>
                <w:rFonts w:asciiTheme="minorEastAsia" w:eastAsiaTheme="minorEastAsia" w:hAnsiTheme="minorEastAsia" w:hint="eastAsia"/>
                <w:bCs/>
                <w:iCs/>
                <w:szCs w:val="21"/>
              </w:rPr>
              <w:t>在</w:t>
            </w:r>
            <w:r w:rsidR="003148F2">
              <w:rPr>
                <w:rFonts w:asciiTheme="minorEastAsia" w:eastAsiaTheme="minorEastAsia" w:hAnsiTheme="minorEastAsia" w:hint="eastAsia"/>
                <w:bCs/>
                <w:iCs/>
                <w:szCs w:val="21"/>
              </w:rPr>
              <w:t>进一步</w:t>
            </w:r>
            <w:r w:rsidR="003148F2" w:rsidRPr="003148F2">
              <w:rPr>
                <w:rFonts w:asciiTheme="minorEastAsia" w:eastAsiaTheme="minorEastAsia" w:hAnsiTheme="minorEastAsia" w:hint="eastAsia"/>
                <w:bCs/>
                <w:iCs/>
                <w:szCs w:val="21"/>
              </w:rPr>
              <w:t>优化产品结构，</w:t>
            </w:r>
            <w:r w:rsidR="003148F2">
              <w:rPr>
                <w:rFonts w:asciiTheme="minorEastAsia" w:eastAsiaTheme="minorEastAsia" w:hAnsiTheme="minorEastAsia" w:hint="eastAsia"/>
                <w:bCs/>
                <w:iCs/>
                <w:szCs w:val="21"/>
              </w:rPr>
              <w:t>且</w:t>
            </w:r>
            <w:r w:rsidR="003148F2" w:rsidRPr="003148F2">
              <w:rPr>
                <w:rFonts w:asciiTheme="minorEastAsia" w:eastAsiaTheme="minorEastAsia" w:hAnsiTheme="minorEastAsia" w:hint="eastAsia"/>
                <w:bCs/>
                <w:iCs/>
                <w:szCs w:val="21"/>
              </w:rPr>
              <w:t>产品的出口量上有上涨。</w:t>
            </w:r>
          </w:p>
          <w:p w:rsidR="006B0E51" w:rsidRPr="00B4327A" w:rsidRDefault="009D7ADF" w:rsidP="00B4327A">
            <w:pPr>
              <w:spacing w:line="360" w:lineRule="auto"/>
              <w:ind w:firstLineChars="200" w:firstLine="422"/>
              <w:rPr>
                <w:rFonts w:asciiTheme="minorEastAsia" w:eastAsiaTheme="minorEastAsia" w:hAnsiTheme="minorEastAsia"/>
                <w:b/>
                <w:bCs/>
                <w:iCs/>
                <w:szCs w:val="21"/>
              </w:rPr>
            </w:pPr>
            <w:r w:rsidRPr="00B4327A">
              <w:rPr>
                <w:rFonts w:asciiTheme="minorEastAsia" w:eastAsiaTheme="minorEastAsia" w:hAnsiTheme="minorEastAsia" w:hint="eastAsia"/>
                <w:b/>
                <w:bCs/>
                <w:iCs/>
                <w:szCs w:val="21"/>
              </w:rPr>
              <w:t>问题</w:t>
            </w:r>
            <w:r w:rsidR="006B0E51" w:rsidRPr="00B4327A">
              <w:rPr>
                <w:rFonts w:asciiTheme="minorEastAsia" w:eastAsiaTheme="minorEastAsia" w:hAnsiTheme="minorEastAsia" w:hint="eastAsia"/>
                <w:b/>
                <w:bCs/>
                <w:iCs/>
                <w:szCs w:val="21"/>
              </w:rPr>
              <w:t>3、</w:t>
            </w:r>
            <w:r w:rsidR="003148F2" w:rsidRPr="003148F2">
              <w:rPr>
                <w:rFonts w:asciiTheme="minorEastAsia" w:eastAsiaTheme="minorEastAsia" w:hAnsiTheme="minorEastAsia" w:hint="eastAsia"/>
                <w:b/>
                <w:bCs/>
                <w:iCs/>
                <w:szCs w:val="21"/>
              </w:rPr>
              <w:t>对</w:t>
            </w:r>
            <w:r w:rsidR="00BB5633">
              <w:rPr>
                <w:rFonts w:asciiTheme="minorEastAsia" w:eastAsiaTheme="minorEastAsia" w:hAnsiTheme="minorEastAsia" w:hint="eastAsia"/>
                <w:b/>
                <w:bCs/>
                <w:iCs/>
                <w:szCs w:val="21"/>
              </w:rPr>
              <w:t>今</w:t>
            </w:r>
            <w:r w:rsidR="003148F2" w:rsidRPr="003148F2">
              <w:rPr>
                <w:rFonts w:asciiTheme="minorEastAsia" w:eastAsiaTheme="minorEastAsia" w:hAnsiTheme="minorEastAsia" w:hint="eastAsia"/>
                <w:b/>
                <w:bCs/>
                <w:iCs/>
                <w:szCs w:val="21"/>
              </w:rPr>
              <w:t>年照明市场的看法？</w:t>
            </w:r>
          </w:p>
          <w:p w:rsidR="00483206" w:rsidRPr="00BF52F9" w:rsidRDefault="00385E4E" w:rsidP="00B4327A">
            <w:pPr>
              <w:spacing w:line="360" w:lineRule="auto"/>
              <w:ind w:firstLineChars="200" w:firstLine="420"/>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回</w:t>
            </w:r>
            <w:r w:rsidR="006B0E51" w:rsidRPr="00BF52F9">
              <w:rPr>
                <w:rFonts w:asciiTheme="minorEastAsia" w:eastAsiaTheme="minorEastAsia" w:hAnsiTheme="minorEastAsia" w:hint="eastAsia"/>
                <w:bCs/>
                <w:iCs/>
                <w:szCs w:val="21"/>
              </w:rPr>
              <w:t>答：</w:t>
            </w:r>
            <w:r w:rsidR="005E77D1" w:rsidRPr="005E77D1">
              <w:rPr>
                <w:rFonts w:asciiTheme="minorEastAsia" w:eastAsiaTheme="minorEastAsia" w:hAnsiTheme="minorEastAsia" w:hint="eastAsia"/>
                <w:bCs/>
                <w:iCs/>
                <w:szCs w:val="21"/>
              </w:rPr>
              <w:t>我个人认为照明市场的产品分两类：一类是出口有专利高端的产品，另一类是在新兴市场</w:t>
            </w:r>
            <w:r w:rsidR="005E77D1">
              <w:rPr>
                <w:rFonts w:asciiTheme="minorEastAsia" w:eastAsiaTheme="minorEastAsia" w:hAnsiTheme="minorEastAsia" w:hint="eastAsia"/>
                <w:bCs/>
                <w:iCs/>
                <w:szCs w:val="21"/>
              </w:rPr>
              <w:t>以</w:t>
            </w:r>
            <w:r w:rsidR="005E77D1" w:rsidRPr="005E77D1">
              <w:rPr>
                <w:rFonts w:asciiTheme="minorEastAsia" w:eastAsiaTheme="minorEastAsia" w:hAnsiTheme="minorEastAsia" w:hint="eastAsia"/>
                <w:bCs/>
                <w:iCs/>
                <w:szCs w:val="21"/>
              </w:rPr>
              <w:t>性价比为主导产品，在市场大环境不好的情况下，大家就更在意性价比，在白光LED产品方面，木林森有相对明显的优势。高端产品在朗德万斯带动国外高端的灯珠的需求和开发晶的合作解决了专利出海口问题。</w:t>
            </w:r>
          </w:p>
          <w:p w:rsidR="00385E4E" w:rsidRPr="005E77D1" w:rsidRDefault="00385E4E" w:rsidP="00B4327A">
            <w:pPr>
              <w:spacing w:line="360" w:lineRule="auto"/>
              <w:rPr>
                <w:rFonts w:asciiTheme="minorEastAsia" w:eastAsiaTheme="minorEastAsia" w:hAnsiTheme="minorEastAsia"/>
                <w:b/>
                <w:bCs/>
                <w:iCs/>
                <w:szCs w:val="21"/>
              </w:rPr>
            </w:pPr>
            <w:r w:rsidRPr="00BF52F9">
              <w:rPr>
                <w:rFonts w:asciiTheme="minorEastAsia" w:eastAsiaTheme="minorEastAsia" w:hAnsiTheme="minorEastAsia" w:hint="eastAsia"/>
                <w:bCs/>
                <w:iCs/>
                <w:szCs w:val="21"/>
              </w:rPr>
              <w:t xml:space="preserve"> </w:t>
            </w:r>
            <w:r w:rsidRPr="00BF52F9">
              <w:rPr>
                <w:rFonts w:asciiTheme="minorEastAsia" w:eastAsiaTheme="minorEastAsia" w:hAnsiTheme="minorEastAsia"/>
                <w:bCs/>
                <w:iCs/>
                <w:szCs w:val="21"/>
              </w:rPr>
              <w:t xml:space="preserve"> </w:t>
            </w:r>
            <w:r w:rsidR="00B4327A">
              <w:rPr>
                <w:rFonts w:asciiTheme="minorEastAsia" w:eastAsiaTheme="minorEastAsia" w:hAnsiTheme="minorEastAsia"/>
                <w:bCs/>
                <w:iCs/>
                <w:szCs w:val="21"/>
              </w:rPr>
              <w:t xml:space="preserve">  </w:t>
            </w:r>
            <w:r w:rsidRPr="00B4327A">
              <w:rPr>
                <w:rFonts w:asciiTheme="minorEastAsia" w:eastAsiaTheme="minorEastAsia" w:hAnsiTheme="minorEastAsia" w:hint="eastAsia"/>
                <w:b/>
                <w:bCs/>
                <w:iCs/>
                <w:szCs w:val="21"/>
              </w:rPr>
              <w:t>问题4、</w:t>
            </w:r>
            <w:r w:rsidR="005E77D1" w:rsidRPr="005E77D1">
              <w:rPr>
                <w:rFonts w:asciiTheme="minorEastAsia" w:eastAsiaTheme="minorEastAsia" w:hAnsiTheme="minorEastAsia" w:hint="eastAsia"/>
                <w:b/>
                <w:bCs/>
                <w:iCs/>
                <w:szCs w:val="21"/>
              </w:rPr>
              <w:tab/>
              <w:t>如何看待库存较高的问题</w:t>
            </w:r>
            <w:r w:rsidR="005E77D1">
              <w:rPr>
                <w:rFonts w:asciiTheme="minorEastAsia" w:eastAsiaTheme="minorEastAsia" w:hAnsiTheme="minorEastAsia" w:hint="eastAsia"/>
                <w:b/>
                <w:bCs/>
                <w:iCs/>
                <w:szCs w:val="21"/>
              </w:rPr>
              <w:t>？</w:t>
            </w:r>
          </w:p>
          <w:p w:rsidR="00385E4E" w:rsidRPr="00BF52F9" w:rsidRDefault="00385E4E" w:rsidP="00B4327A">
            <w:pPr>
              <w:spacing w:line="360" w:lineRule="auto"/>
              <w:ind w:firstLineChars="200" w:firstLine="420"/>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回答：</w:t>
            </w:r>
            <w:r w:rsidR="005E77D1" w:rsidRPr="005E77D1">
              <w:rPr>
                <w:rFonts w:asciiTheme="minorEastAsia" w:eastAsiaTheme="minorEastAsia" w:hAnsiTheme="minorEastAsia" w:hint="eastAsia"/>
                <w:bCs/>
                <w:iCs/>
                <w:szCs w:val="21"/>
              </w:rPr>
              <w:t>我们一直在调整产品结构，通过产品结构的转换去调整库存的结构。</w:t>
            </w:r>
          </w:p>
          <w:p w:rsidR="00840681" w:rsidRPr="00BF52F9" w:rsidRDefault="00840681" w:rsidP="00F8219D">
            <w:pPr>
              <w:spacing w:line="360" w:lineRule="auto"/>
              <w:ind w:leftChars="150" w:left="315" w:firstLineChars="50" w:firstLine="105"/>
              <w:jc w:val="left"/>
              <w:rPr>
                <w:rFonts w:asciiTheme="minorEastAsia" w:eastAsiaTheme="minorEastAsia" w:hAnsiTheme="minorEastAsia"/>
                <w:szCs w:val="21"/>
              </w:rPr>
            </w:pPr>
            <w:r w:rsidRPr="00B4327A">
              <w:rPr>
                <w:rFonts w:asciiTheme="minorEastAsia" w:eastAsiaTheme="minorEastAsia" w:hAnsiTheme="minorEastAsia" w:hint="eastAsia"/>
                <w:b/>
                <w:szCs w:val="21"/>
              </w:rPr>
              <w:t>问题</w:t>
            </w:r>
            <w:r w:rsidRPr="00B4327A">
              <w:rPr>
                <w:rFonts w:asciiTheme="minorEastAsia" w:eastAsiaTheme="minorEastAsia" w:hAnsiTheme="minorEastAsia"/>
                <w:b/>
                <w:szCs w:val="21"/>
              </w:rPr>
              <w:t>5</w:t>
            </w:r>
            <w:r w:rsidRPr="00B4327A">
              <w:rPr>
                <w:rFonts w:asciiTheme="minorEastAsia" w:eastAsiaTheme="minorEastAsia" w:hAnsiTheme="minorEastAsia" w:hint="eastAsia"/>
                <w:b/>
                <w:szCs w:val="21"/>
              </w:rPr>
              <w:t>、</w:t>
            </w:r>
            <w:r w:rsidR="005E77D1" w:rsidRPr="005E77D1">
              <w:rPr>
                <w:rFonts w:asciiTheme="minorEastAsia" w:eastAsiaTheme="minorEastAsia" w:hAnsiTheme="minorEastAsia" w:hint="eastAsia"/>
                <w:b/>
                <w:szCs w:val="21"/>
              </w:rPr>
              <w:tab/>
              <w:t>芯片的价格和终端产品价格的是否存在传导机制？</w:t>
            </w:r>
          </w:p>
          <w:p w:rsidR="00840681" w:rsidRPr="00BF52F9" w:rsidRDefault="00840681" w:rsidP="00B4327A">
            <w:pPr>
              <w:spacing w:line="360" w:lineRule="auto"/>
              <w:ind w:firstLineChars="200" w:firstLine="420"/>
              <w:rPr>
                <w:rFonts w:asciiTheme="minorEastAsia" w:eastAsiaTheme="minorEastAsia" w:hAnsiTheme="minorEastAsia"/>
                <w:szCs w:val="21"/>
              </w:rPr>
            </w:pPr>
            <w:r w:rsidRPr="00BF52F9">
              <w:rPr>
                <w:rFonts w:asciiTheme="minorEastAsia" w:eastAsiaTheme="minorEastAsia" w:hAnsiTheme="minorEastAsia" w:hint="eastAsia"/>
                <w:bCs/>
                <w:iCs/>
                <w:szCs w:val="21"/>
              </w:rPr>
              <w:t>回答：</w:t>
            </w:r>
            <w:r w:rsidR="005E77D1" w:rsidRPr="005E77D1">
              <w:rPr>
                <w:rFonts w:asciiTheme="minorEastAsia" w:eastAsiaTheme="minorEastAsia" w:hAnsiTheme="minorEastAsia" w:hint="eastAsia"/>
                <w:bCs/>
                <w:iCs/>
                <w:szCs w:val="21"/>
              </w:rPr>
              <w:t>有传导机制，芯片价格下降，封装企业的价格也会有一定的下降幅度。</w:t>
            </w:r>
            <w:r w:rsidR="00412B9A">
              <w:rPr>
                <w:rFonts w:asciiTheme="minorEastAsia" w:eastAsiaTheme="minorEastAsia" w:hAnsiTheme="minorEastAsia" w:hint="eastAsia"/>
                <w:bCs/>
                <w:iCs/>
                <w:szCs w:val="21"/>
              </w:rPr>
              <w:t>但是</w:t>
            </w:r>
            <w:r w:rsidR="005E77D1" w:rsidRPr="005E77D1">
              <w:rPr>
                <w:rFonts w:asciiTheme="minorEastAsia" w:eastAsiaTheme="minorEastAsia" w:hAnsiTheme="minorEastAsia" w:hint="eastAsia"/>
                <w:bCs/>
                <w:iCs/>
                <w:szCs w:val="21"/>
              </w:rPr>
              <w:t>芯片占封装的成本越低，个人认为对木林森越有优势。</w:t>
            </w:r>
          </w:p>
          <w:p w:rsidR="005E77D1" w:rsidRPr="005E77D1" w:rsidRDefault="005E77D1" w:rsidP="005E77D1">
            <w:pPr>
              <w:spacing w:line="360" w:lineRule="auto"/>
              <w:ind w:leftChars="150" w:left="315" w:firstLineChars="50" w:firstLine="105"/>
              <w:jc w:val="left"/>
              <w:rPr>
                <w:rFonts w:asciiTheme="minorEastAsia" w:eastAsiaTheme="minorEastAsia" w:hAnsiTheme="minorEastAsia"/>
                <w:b/>
                <w:szCs w:val="21"/>
              </w:rPr>
            </w:pPr>
            <w:r>
              <w:rPr>
                <w:rFonts w:asciiTheme="minorEastAsia" w:eastAsiaTheme="minorEastAsia" w:hAnsiTheme="minorEastAsia" w:hint="eastAsia"/>
                <w:b/>
                <w:szCs w:val="21"/>
              </w:rPr>
              <w:t>问题6：</w:t>
            </w:r>
            <w:r w:rsidRPr="005E77D1">
              <w:rPr>
                <w:rFonts w:asciiTheme="minorEastAsia" w:eastAsiaTheme="minorEastAsia" w:hAnsiTheme="minorEastAsia" w:hint="eastAsia"/>
                <w:b/>
                <w:szCs w:val="21"/>
              </w:rPr>
              <w:t>合计报表预计负债的增加是因为什么原因？</w:t>
            </w:r>
          </w:p>
          <w:p w:rsidR="005E77D1" w:rsidRPr="005E77D1" w:rsidRDefault="00412B9A" w:rsidP="005E77D1">
            <w:pPr>
              <w:spacing w:line="360" w:lineRule="auto"/>
              <w:ind w:left="360"/>
              <w:rPr>
                <w:rFonts w:ascii="宋体" w:hAnsi="宋体"/>
                <w:szCs w:val="22"/>
              </w:rPr>
            </w:pPr>
            <w:r>
              <w:rPr>
                <w:rFonts w:ascii="宋体" w:hAnsi="宋体" w:hint="eastAsia"/>
                <w:szCs w:val="22"/>
              </w:rPr>
              <w:t>回答</w:t>
            </w:r>
            <w:r w:rsidR="005E77D1" w:rsidRPr="005E77D1">
              <w:rPr>
                <w:rFonts w:ascii="宋体" w:hAnsi="宋体" w:hint="eastAsia"/>
                <w:szCs w:val="22"/>
              </w:rPr>
              <w:t>：是朗德万斯合并以后计提的重组费用。</w:t>
            </w:r>
          </w:p>
          <w:p w:rsidR="005E77D1" w:rsidRPr="005E77D1" w:rsidRDefault="005E77D1" w:rsidP="005E77D1">
            <w:pPr>
              <w:spacing w:line="360" w:lineRule="auto"/>
              <w:ind w:leftChars="150" w:left="315" w:firstLineChars="50" w:firstLine="105"/>
              <w:jc w:val="left"/>
              <w:rPr>
                <w:rFonts w:asciiTheme="minorEastAsia" w:eastAsiaTheme="minorEastAsia" w:hAnsiTheme="minorEastAsia"/>
                <w:b/>
                <w:szCs w:val="21"/>
              </w:rPr>
            </w:pPr>
            <w:r>
              <w:rPr>
                <w:rFonts w:asciiTheme="minorEastAsia" w:eastAsiaTheme="minorEastAsia" w:hAnsiTheme="minorEastAsia" w:hint="eastAsia"/>
                <w:b/>
                <w:szCs w:val="21"/>
              </w:rPr>
              <w:t>问题7：</w:t>
            </w:r>
            <w:r w:rsidRPr="005E77D1">
              <w:rPr>
                <w:rFonts w:asciiTheme="minorEastAsia" w:eastAsiaTheme="minorEastAsia" w:hAnsiTheme="minorEastAsia" w:hint="eastAsia"/>
                <w:b/>
                <w:szCs w:val="21"/>
              </w:rPr>
              <w:t>木林森制造端经验如何做好品牌渠道端？</w:t>
            </w:r>
          </w:p>
          <w:p w:rsidR="005E77D1" w:rsidRPr="005E77D1" w:rsidRDefault="005E77D1" w:rsidP="005E77D1">
            <w:pPr>
              <w:spacing w:line="360" w:lineRule="auto"/>
              <w:ind w:firstLineChars="200" w:firstLine="420"/>
              <w:rPr>
                <w:rFonts w:asciiTheme="minorEastAsia" w:eastAsiaTheme="minorEastAsia" w:hAnsiTheme="minorEastAsia"/>
                <w:bCs/>
                <w:iCs/>
                <w:szCs w:val="21"/>
              </w:rPr>
            </w:pPr>
            <w:r>
              <w:rPr>
                <w:rFonts w:asciiTheme="minorEastAsia" w:eastAsiaTheme="minorEastAsia" w:hAnsiTheme="minorEastAsia" w:hint="eastAsia"/>
                <w:bCs/>
                <w:iCs/>
                <w:szCs w:val="21"/>
              </w:rPr>
              <w:t>回答</w:t>
            </w:r>
            <w:r w:rsidRPr="005E77D1">
              <w:rPr>
                <w:rFonts w:asciiTheme="minorEastAsia" w:eastAsiaTheme="minorEastAsia" w:hAnsiTheme="minorEastAsia" w:hint="eastAsia"/>
                <w:bCs/>
                <w:iCs/>
                <w:szCs w:val="21"/>
              </w:rPr>
              <w:t>：第一通过研讨把握</w:t>
            </w:r>
            <w:r w:rsidR="00412B9A">
              <w:rPr>
                <w:rFonts w:asciiTheme="minorEastAsia" w:eastAsiaTheme="minorEastAsia" w:hAnsiTheme="minorEastAsia" w:hint="eastAsia"/>
                <w:bCs/>
                <w:iCs/>
                <w:szCs w:val="21"/>
              </w:rPr>
              <w:t>总体</w:t>
            </w:r>
            <w:r w:rsidRPr="005E77D1">
              <w:rPr>
                <w:rFonts w:asciiTheme="minorEastAsia" w:eastAsiaTheme="minorEastAsia" w:hAnsiTheme="minorEastAsia" w:hint="eastAsia"/>
                <w:bCs/>
                <w:iCs/>
                <w:szCs w:val="21"/>
              </w:rPr>
              <w:t>大方向，由专业的营销团队</w:t>
            </w:r>
            <w:r w:rsidR="00412B9A">
              <w:rPr>
                <w:rFonts w:asciiTheme="minorEastAsia" w:eastAsiaTheme="minorEastAsia" w:hAnsiTheme="minorEastAsia" w:hint="eastAsia"/>
                <w:bCs/>
                <w:iCs/>
                <w:szCs w:val="21"/>
              </w:rPr>
              <w:t>负责</w:t>
            </w:r>
            <w:r w:rsidR="00412B9A" w:rsidRPr="00412B9A">
              <w:rPr>
                <w:rFonts w:asciiTheme="minorEastAsia" w:eastAsiaTheme="minorEastAsia" w:hAnsiTheme="minorEastAsia" w:hint="eastAsia"/>
                <w:bCs/>
                <w:iCs/>
                <w:szCs w:val="21"/>
              </w:rPr>
              <w:t>品牌渠道</w:t>
            </w:r>
            <w:r w:rsidRPr="005E77D1">
              <w:rPr>
                <w:rFonts w:asciiTheme="minorEastAsia" w:eastAsiaTheme="minorEastAsia" w:hAnsiTheme="minorEastAsia" w:hint="eastAsia"/>
                <w:bCs/>
                <w:iCs/>
                <w:szCs w:val="21"/>
              </w:rPr>
              <w:t>，专业的事情给专业人做，第二个人认为不管是品牌还是营销，最主要的还是核心竞争力的产品。通过最有核心竞争力的产品去带动</w:t>
            </w:r>
            <w:r w:rsidRPr="005E77D1">
              <w:rPr>
                <w:rFonts w:asciiTheme="minorEastAsia" w:eastAsiaTheme="minorEastAsia" w:hAnsiTheme="minorEastAsia" w:hint="eastAsia"/>
                <w:bCs/>
                <w:iCs/>
                <w:szCs w:val="21"/>
              </w:rPr>
              <w:lastRenderedPageBreak/>
              <w:t>品牌和渠道端。</w:t>
            </w:r>
          </w:p>
          <w:p w:rsidR="005E77D1" w:rsidRPr="005E77D1" w:rsidRDefault="005E77D1" w:rsidP="005E77D1">
            <w:pPr>
              <w:spacing w:line="360" w:lineRule="auto"/>
              <w:ind w:leftChars="150" w:left="315" w:firstLineChars="50" w:firstLine="105"/>
              <w:jc w:val="left"/>
              <w:rPr>
                <w:rFonts w:asciiTheme="minorEastAsia" w:eastAsiaTheme="minorEastAsia" w:hAnsiTheme="minorEastAsia"/>
                <w:b/>
                <w:szCs w:val="21"/>
              </w:rPr>
            </w:pPr>
            <w:r>
              <w:rPr>
                <w:rFonts w:asciiTheme="minorEastAsia" w:eastAsiaTheme="minorEastAsia" w:hAnsiTheme="minorEastAsia" w:hint="eastAsia"/>
                <w:b/>
                <w:szCs w:val="21"/>
              </w:rPr>
              <w:t>问题8：</w:t>
            </w:r>
            <w:r w:rsidRPr="005E77D1">
              <w:rPr>
                <w:rFonts w:asciiTheme="minorEastAsia" w:eastAsiaTheme="minorEastAsia" w:hAnsiTheme="minorEastAsia" w:hint="eastAsia"/>
                <w:b/>
                <w:szCs w:val="21"/>
              </w:rPr>
              <w:t>今年对短期负债的有哪些安排？</w:t>
            </w:r>
          </w:p>
          <w:p w:rsidR="00BF52F9" w:rsidRPr="00B4327A" w:rsidRDefault="005E77D1" w:rsidP="005E77D1">
            <w:pPr>
              <w:spacing w:line="360" w:lineRule="auto"/>
              <w:ind w:firstLineChars="200" w:firstLine="420"/>
              <w:rPr>
                <w:rFonts w:asciiTheme="minorEastAsia" w:eastAsiaTheme="minorEastAsia" w:hAnsiTheme="minorEastAsia"/>
                <w:szCs w:val="21"/>
              </w:rPr>
            </w:pPr>
            <w:r>
              <w:rPr>
                <w:rFonts w:ascii="宋体" w:hAnsi="宋体" w:hint="eastAsia"/>
                <w:szCs w:val="22"/>
              </w:rPr>
              <w:t>回答</w:t>
            </w:r>
            <w:r w:rsidRPr="005E77D1">
              <w:rPr>
                <w:rFonts w:ascii="宋体" w:hAnsi="宋体" w:hint="eastAsia"/>
                <w:szCs w:val="22"/>
              </w:rPr>
              <w:t>：我们的有息负债在我们可控的范围内，看到的短期负债比较高，其实我们是有对</w:t>
            </w:r>
            <w:proofErr w:type="gramStart"/>
            <w:r w:rsidRPr="005E77D1">
              <w:rPr>
                <w:rFonts w:ascii="宋体" w:hAnsi="宋体" w:hint="eastAsia"/>
                <w:szCs w:val="22"/>
              </w:rPr>
              <w:t>冲风险</w:t>
            </w:r>
            <w:proofErr w:type="gramEnd"/>
            <w:r w:rsidRPr="005E77D1">
              <w:rPr>
                <w:rFonts w:ascii="宋体" w:hAnsi="宋体" w:hint="eastAsia"/>
                <w:szCs w:val="22"/>
              </w:rPr>
              <w:t>的，有一部分是以票据作为融资，这一部分可以对冲，对</w:t>
            </w:r>
            <w:proofErr w:type="gramStart"/>
            <w:r w:rsidRPr="005E77D1">
              <w:rPr>
                <w:rFonts w:ascii="宋体" w:hAnsi="宋体" w:hint="eastAsia"/>
                <w:szCs w:val="22"/>
              </w:rPr>
              <w:t>冲以</w:t>
            </w:r>
            <w:proofErr w:type="gramEnd"/>
            <w:r w:rsidRPr="005E77D1">
              <w:rPr>
                <w:rFonts w:ascii="宋体" w:hAnsi="宋体" w:hint="eastAsia"/>
                <w:szCs w:val="22"/>
              </w:rPr>
              <w:t>后我们的短期负债率会下降，而且这一部分有全额的保证金。我们在整个盘子可控的情况下，为了降低融资成本，我们在</w:t>
            </w:r>
            <w:r w:rsidR="00070AEE">
              <w:rPr>
                <w:rFonts w:ascii="宋体" w:hAnsi="宋体" w:hint="eastAsia"/>
                <w:szCs w:val="22"/>
              </w:rPr>
              <w:t>同行</w:t>
            </w:r>
            <w:r w:rsidRPr="005E77D1">
              <w:rPr>
                <w:rFonts w:ascii="宋体" w:hAnsi="宋体" w:hint="eastAsia"/>
                <w:szCs w:val="22"/>
              </w:rPr>
              <w:t>相同规模的融资，我们融资成本是低于同行的，所有的融资</w:t>
            </w:r>
            <w:r w:rsidR="00070AEE">
              <w:rPr>
                <w:rFonts w:ascii="宋体" w:hAnsi="宋体" w:hint="eastAsia"/>
                <w:szCs w:val="22"/>
              </w:rPr>
              <w:t>风险</w:t>
            </w:r>
            <w:r w:rsidRPr="005E77D1">
              <w:rPr>
                <w:rFonts w:ascii="宋体" w:hAnsi="宋体" w:hint="eastAsia"/>
                <w:szCs w:val="22"/>
              </w:rPr>
              <w:t>是可控的。</w:t>
            </w:r>
          </w:p>
        </w:tc>
      </w:tr>
      <w:tr w:rsidR="00F81E20" w:rsidRPr="005656A9" w:rsidTr="00207451">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lastRenderedPageBreak/>
              <w:t>附件清单（如有）</w:t>
            </w:r>
          </w:p>
        </w:tc>
        <w:tc>
          <w:tcPr>
            <w:tcW w:w="6614" w:type="dxa"/>
            <w:shd w:val="clear" w:color="auto" w:fill="auto"/>
          </w:tcPr>
          <w:p w:rsidR="00F81E20" w:rsidRPr="005656A9" w:rsidRDefault="003C45B4" w:rsidP="00207451">
            <w:pPr>
              <w:spacing w:line="480" w:lineRule="atLeast"/>
              <w:rPr>
                <w:rFonts w:ascii="宋体" w:hAnsi="宋体"/>
                <w:bCs/>
                <w:iCs/>
                <w:sz w:val="22"/>
                <w:szCs w:val="22"/>
              </w:rPr>
            </w:pPr>
            <w:r>
              <w:rPr>
                <w:rFonts w:ascii="宋体" w:hAnsi="宋体" w:hint="eastAsia"/>
                <w:bCs/>
                <w:iCs/>
                <w:sz w:val="22"/>
                <w:szCs w:val="22"/>
              </w:rPr>
              <w:t>无</w:t>
            </w:r>
          </w:p>
        </w:tc>
      </w:tr>
      <w:tr w:rsidR="00F81E20" w:rsidRPr="005656A9" w:rsidTr="00207451">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日期</w:t>
            </w:r>
          </w:p>
        </w:tc>
        <w:tc>
          <w:tcPr>
            <w:tcW w:w="6614" w:type="dxa"/>
            <w:shd w:val="clear" w:color="auto" w:fill="auto"/>
          </w:tcPr>
          <w:p w:rsidR="00F81E20" w:rsidRPr="005656A9" w:rsidRDefault="00925FE6">
            <w:pPr>
              <w:spacing w:line="480" w:lineRule="atLeast"/>
              <w:rPr>
                <w:rFonts w:ascii="宋体" w:hAnsi="宋体"/>
                <w:bCs/>
                <w:iCs/>
                <w:sz w:val="22"/>
                <w:szCs w:val="22"/>
              </w:rPr>
            </w:pPr>
            <w:r>
              <w:rPr>
                <w:rFonts w:ascii="宋体" w:hAnsi="宋体" w:hint="eastAsia"/>
                <w:bCs/>
                <w:iCs/>
                <w:sz w:val="22"/>
                <w:szCs w:val="22"/>
              </w:rPr>
              <w:t>201</w:t>
            </w:r>
            <w:r w:rsidR="005E77D1">
              <w:rPr>
                <w:rFonts w:ascii="宋体" w:hAnsi="宋体" w:hint="eastAsia"/>
                <w:bCs/>
                <w:iCs/>
                <w:sz w:val="22"/>
                <w:szCs w:val="22"/>
              </w:rPr>
              <w:t>9</w:t>
            </w:r>
            <w:r w:rsidR="003C45B4">
              <w:rPr>
                <w:rFonts w:ascii="宋体" w:hAnsi="宋体" w:hint="eastAsia"/>
                <w:bCs/>
                <w:iCs/>
                <w:sz w:val="22"/>
                <w:szCs w:val="22"/>
              </w:rPr>
              <w:t>年</w:t>
            </w:r>
            <w:r w:rsidR="005E77D1">
              <w:rPr>
                <w:rFonts w:ascii="宋体" w:hAnsi="宋体" w:hint="eastAsia"/>
                <w:bCs/>
                <w:iCs/>
                <w:sz w:val="22"/>
                <w:szCs w:val="22"/>
              </w:rPr>
              <w:t>1</w:t>
            </w:r>
            <w:r w:rsidR="003C45B4">
              <w:rPr>
                <w:rFonts w:ascii="宋体" w:hAnsi="宋体" w:hint="eastAsia"/>
                <w:bCs/>
                <w:iCs/>
                <w:sz w:val="22"/>
                <w:szCs w:val="22"/>
              </w:rPr>
              <w:t>月</w:t>
            </w:r>
            <w:r w:rsidR="005E77D1">
              <w:rPr>
                <w:rFonts w:ascii="宋体" w:hAnsi="宋体" w:hint="eastAsia"/>
                <w:bCs/>
                <w:iCs/>
                <w:sz w:val="22"/>
                <w:szCs w:val="22"/>
              </w:rPr>
              <w:t>10</w:t>
            </w:r>
            <w:r w:rsidR="003C45B4">
              <w:rPr>
                <w:rFonts w:ascii="宋体" w:hAnsi="宋体" w:hint="eastAsia"/>
                <w:bCs/>
                <w:iCs/>
                <w:sz w:val="22"/>
                <w:szCs w:val="22"/>
              </w:rPr>
              <w:t>日</w:t>
            </w:r>
          </w:p>
        </w:tc>
      </w:tr>
    </w:tbl>
    <w:p w:rsidR="00207451" w:rsidRDefault="00207451"/>
    <w:sectPr w:rsidR="00207451" w:rsidSect="009A3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330" w:rsidRDefault="00365330" w:rsidP="009F285C">
      <w:r>
        <w:separator/>
      </w:r>
    </w:p>
  </w:endnote>
  <w:endnote w:type="continuationSeparator" w:id="0">
    <w:p w:rsidR="00365330" w:rsidRDefault="00365330" w:rsidP="009F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330" w:rsidRDefault="00365330" w:rsidP="009F285C">
      <w:r>
        <w:separator/>
      </w:r>
    </w:p>
  </w:footnote>
  <w:footnote w:type="continuationSeparator" w:id="0">
    <w:p w:rsidR="00365330" w:rsidRDefault="00365330" w:rsidP="009F2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C5EBB"/>
    <w:multiLevelType w:val="hybridMultilevel"/>
    <w:tmpl w:val="5A5CD7AA"/>
    <w:lvl w:ilvl="0" w:tplc="14486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070E46"/>
    <w:multiLevelType w:val="hybridMultilevel"/>
    <w:tmpl w:val="E68AD810"/>
    <w:lvl w:ilvl="0" w:tplc="EAB6CE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E20"/>
    <w:rsid w:val="00024931"/>
    <w:rsid w:val="00025630"/>
    <w:rsid w:val="00032E42"/>
    <w:rsid w:val="00033A13"/>
    <w:rsid w:val="000446E9"/>
    <w:rsid w:val="0005150C"/>
    <w:rsid w:val="0006199F"/>
    <w:rsid w:val="00070AEE"/>
    <w:rsid w:val="00075926"/>
    <w:rsid w:val="000856D5"/>
    <w:rsid w:val="00093336"/>
    <w:rsid w:val="00096F03"/>
    <w:rsid w:val="000A5477"/>
    <w:rsid w:val="000B28BD"/>
    <w:rsid w:val="000B5AB9"/>
    <w:rsid w:val="000C668C"/>
    <w:rsid w:val="000D5214"/>
    <w:rsid w:val="000D67F6"/>
    <w:rsid w:val="001115A8"/>
    <w:rsid w:val="001160C9"/>
    <w:rsid w:val="00143463"/>
    <w:rsid w:val="001647A5"/>
    <w:rsid w:val="00175C70"/>
    <w:rsid w:val="00183841"/>
    <w:rsid w:val="001A0E3F"/>
    <w:rsid w:val="001D6C2C"/>
    <w:rsid w:val="00200CC1"/>
    <w:rsid w:val="00207451"/>
    <w:rsid w:val="00252346"/>
    <w:rsid w:val="00254CC9"/>
    <w:rsid w:val="00274340"/>
    <w:rsid w:val="00283121"/>
    <w:rsid w:val="002904CC"/>
    <w:rsid w:val="002A4B3A"/>
    <w:rsid w:val="002B6327"/>
    <w:rsid w:val="003148F2"/>
    <w:rsid w:val="003175B1"/>
    <w:rsid w:val="00365330"/>
    <w:rsid w:val="0038085A"/>
    <w:rsid w:val="00382071"/>
    <w:rsid w:val="00385E4E"/>
    <w:rsid w:val="0038670B"/>
    <w:rsid w:val="003B0221"/>
    <w:rsid w:val="003B5E30"/>
    <w:rsid w:val="003C45B4"/>
    <w:rsid w:val="003D031F"/>
    <w:rsid w:val="003D6169"/>
    <w:rsid w:val="003E0A3A"/>
    <w:rsid w:val="003F5E74"/>
    <w:rsid w:val="003F6447"/>
    <w:rsid w:val="00407D0A"/>
    <w:rsid w:val="00412B9A"/>
    <w:rsid w:val="004147F0"/>
    <w:rsid w:val="00431EEB"/>
    <w:rsid w:val="004633A0"/>
    <w:rsid w:val="0046776F"/>
    <w:rsid w:val="00483206"/>
    <w:rsid w:val="004857D8"/>
    <w:rsid w:val="00487FFC"/>
    <w:rsid w:val="004E241D"/>
    <w:rsid w:val="004F472E"/>
    <w:rsid w:val="00503FED"/>
    <w:rsid w:val="00525595"/>
    <w:rsid w:val="00552985"/>
    <w:rsid w:val="0057411D"/>
    <w:rsid w:val="005D75B4"/>
    <w:rsid w:val="005E77D1"/>
    <w:rsid w:val="006135F4"/>
    <w:rsid w:val="00622D04"/>
    <w:rsid w:val="0062612B"/>
    <w:rsid w:val="0064687C"/>
    <w:rsid w:val="0065270A"/>
    <w:rsid w:val="006557DE"/>
    <w:rsid w:val="006611AF"/>
    <w:rsid w:val="006614B1"/>
    <w:rsid w:val="00684BBA"/>
    <w:rsid w:val="00693D52"/>
    <w:rsid w:val="006A13D9"/>
    <w:rsid w:val="006B0E51"/>
    <w:rsid w:val="006D3DA2"/>
    <w:rsid w:val="006E51E5"/>
    <w:rsid w:val="0070466F"/>
    <w:rsid w:val="00724A7C"/>
    <w:rsid w:val="00755D00"/>
    <w:rsid w:val="007619EF"/>
    <w:rsid w:val="007800E3"/>
    <w:rsid w:val="007844A0"/>
    <w:rsid w:val="007B6C95"/>
    <w:rsid w:val="007C6D6F"/>
    <w:rsid w:val="007D7E07"/>
    <w:rsid w:val="007F1946"/>
    <w:rsid w:val="007F4E07"/>
    <w:rsid w:val="00801E0D"/>
    <w:rsid w:val="00813D41"/>
    <w:rsid w:val="00840681"/>
    <w:rsid w:val="00857C1D"/>
    <w:rsid w:val="008922FB"/>
    <w:rsid w:val="008B384B"/>
    <w:rsid w:val="008C7683"/>
    <w:rsid w:val="008F5E4B"/>
    <w:rsid w:val="00903EE3"/>
    <w:rsid w:val="00925FE6"/>
    <w:rsid w:val="0094525B"/>
    <w:rsid w:val="00950EA7"/>
    <w:rsid w:val="00964DDE"/>
    <w:rsid w:val="00997185"/>
    <w:rsid w:val="009A339D"/>
    <w:rsid w:val="009C1499"/>
    <w:rsid w:val="009D7ADF"/>
    <w:rsid w:val="009E08B4"/>
    <w:rsid w:val="009E3A50"/>
    <w:rsid w:val="009E6462"/>
    <w:rsid w:val="009F285C"/>
    <w:rsid w:val="009F7ADF"/>
    <w:rsid w:val="00A03FD1"/>
    <w:rsid w:val="00A2351D"/>
    <w:rsid w:val="00A32454"/>
    <w:rsid w:val="00A53A97"/>
    <w:rsid w:val="00A663C3"/>
    <w:rsid w:val="00A814FC"/>
    <w:rsid w:val="00A85015"/>
    <w:rsid w:val="00A87B7C"/>
    <w:rsid w:val="00AD37B3"/>
    <w:rsid w:val="00B03388"/>
    <w:rsid w:val="00B14E4A"/>
    <w:rsid w:val="00B4327A"/>
    <w:rsid w:val="00B51820"/>
    <w:rsid w:val="00B61FF7"/>
    <w:rsid w:val="00B850A8"/>
    <w:rsid w:val="00BB5633"/>
    <w:rsid w:val="00BF52F9"/>
    <w:rsid w:val="00BF5E80"/>
    <w:rsid w:val="00C06A3C"/>
    <w:rsid w:val="00C209D9"/>
    <w:rsid w:val="00C20E00"/>
    <w:rsid w:val="00C476CB"/>
    <w:rsid w:val="00C64CEA"/>
    <w:rsid w:val="00C6502B"/>
    <w:rsid w:val="00CA2A46"/>
    <w:rsid w:val="00D4167A"/>
    <w:rsid w:val="00D556FA"/>
    <w:rsid w:val="00D57BC9"/>
    <w:rsid w:val="00D700B0"/>
    <w:rsid w:val="00D7035F"/>
    <w:rsid w:val="00DC7AFA"/>
    <w:rsid w:val="00E2611B"/>
    <w:rsid w:val="00E318D8"/>
    <w:rsid w:val="00E67862"/>
    <w:rsid w:val="00E94CA5"/>
    <w:rsid w:val="00EA4935"/>
    <w:rsid w:val="00EB0448"/>
    <w:rsid w:val="00ED32A4"/>
    <w:rsid w:val="00EF2FF8"/>
    <w:rsid w:val="00EF39B6"/>
    <w:rsid w:val="00F06811"/>
    <w:rsid w:val="00F135BA"/>
    <w:rsid w:val="00F160B6"/>
    <w:rsid w:val="00F2440A"/>
    <w:rsid w:val="00F27726"/>
    <w:rsid w:val="00F3470E"/>
    <w:rsid w:val="00F37E95"/>
    <w:rsid w:val="00F42134"/>
    <w:rsid w:val="00F51313"/>
    <w:rsid w:val="00F81E20"/>
    <w:rsid w:val="00F82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C1F29"/>
  <w15:docId w15:val="{F77FACF9-A1E1-4720-AD3B-B3E4751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6E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8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85C"/>
    <w:rPr>
      <w:rFonts w:ascii="Times New Roman" w:eastAsia="宋体" w:hAnsi="Times New Roman" w:cs="Times New Roman"/>
      <w:sz w:val="18"/>
      <w:szCs w:val="18"/>
    </w:rPr>
  </w:style>
  <w:style w:type="paragraph" w:styleId="a5">
    <w:name w:val="footer"/>
    <w:basedOn w:val="a"/>
    <w:link w:val="a6"/>
    <w:uiPriority w:val="99"/>
    <w:unhideWhenUsed/>
    <w:rsid w:val="009F285C"/>
    <w:pPr>
      <w:tabs>
        <w:tab w:val="center" w:pos="4153"/>
        <w:tab w:val="right" w:pos="8306"/>
      </w:tabs>
      <w:snapToGrid w:val="0"/>
      <w:jc w:val="left"/>
    </w:pPr>
    <w:rPr>
      <w:sz w:val="18"/>
      <w:szCs w:val="18"/>
    </w:rPr>
  </w:style>
  <w:style w:type="character" w:customStyle="1" w:styleId="a6">
    <w:name w:val="页脚 字符"/>
    <w:basedOn w:val="a0"/>
    <w:link w:val="a5"/>
    <w:uiPriority w:val="99"/>
    <w:rsid w:val="009F285C"/>
    <w:rPr>
      <w:rFonts w:ascii="Times New Roman" w:eastAsia="宋体" w:hAnsi="Times New Roman" w:cs="Times New Roman"/>
      <w:sz w:val="18"/>
      <w:szCs w:val="18"/>
    </w:rPr>
  </w:style>
  <w:style w:type="paragraph" w:styleId="a7">
    <w:name w:val="Balloon Text"/>
    <w:basedOn w:val="a"/>
    <w:link w:val="a8"/>
    <w:uiPriority w:val="99"/>
    <w:semiHidden/>
    <w:unhideWhenUsed/>
    <w:rsid w:val="00F37E95"/>
    <w:rPr>
      <w:sz w:val="18"/>
      <w:szCs w:val="18"/>
    </w:rPr>
  </w:style>
  <w:style w:type="character" w:customStyle="1" w:styleId="a8">
    <w:name w:val="批注框文本 字符"/>
    <w:basedOn w:val="a0"/>
    <w:link w:val="a7"/>
    <w:uiPriority w:val="99"/>
    <w:semiHidden/>
    <w:rsid w:val="00F37E95"/>
    <w:rPr>
      <w:rFonts w:ascii="Times New Roman" w:eastAsia="宋体" w:hAnsi="Times New Roman" w:cs="Times New Roman"/>
      <w:sz w:val="18"/>
      <w:szCs w:val="18"/>
    </w:rPr>
  </w:style>
  <w:style w:type="paragraph" w:styleId="a9">
    <w:name w:val="List Paragraph"/>
    <w:basedOn w:val="a"/>
    <w:uiPriority w:val="34"/>
    <w:qFormat/>
    <w:rsid w:val="00A850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1B62-68C1-40DE-AB33-A4534FB2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264</Words>
  <Characters>1509</Characters>
  <Application>Microsoft Office Word</Application>
  <DocSecurity>0</DocSecurity>
  <Lines>12</Lines>
  <Paragraphs>3</Paragraphs>
  <ScaleCrop>false</ScaleCrop>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dasfd</dc:creator>
  <cp:lastModifiedBy>Windows 用户</cp:lastModifiedBy>
  <cp:revision>117</cp:revision>
  <cp:lastPrinted>2017-12-06T08:57:00Z</cp:lastPrinted>
  <dcterms:created xsi:type="dcterms:W3CDTF">2016-03-15T09:16:00Z</dcterms:created>
  <dcterms:modified xsi:type="dcterms:W3CDTF">2019-01-11T02:21:00Z</dcterms:modified>
</cp:coreProperties>
</file>