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7F" w:rsidRPr="0022619D" w:rsidRDefault="00966F7F" w:rsidP="002F3F62">
      <w:pPr>
        <w:spacing w:beforeLines="50" w:before="180" w:afterLines="50" w:after="180" w:line="400" w:lineRule="exact"/>
        <w:jc w:val="center"/>
        <w:rPr>
          <w:rFonts w:ascii="宋体" w:hAnsi="宋体"/>
          <w:bCs/>
          <w:iCs/>
          <w:color w:val="000000"/>
          <w:sz w:val="24"/>
        </w:rPr>
      </w:pPr>
      <w:r w:rsidRPr="0022619D">
        <w:rPr>
          <w:rFonts w:ascii="宋体" w:hAnsi="宋体" w:hint="eastAsia"/>
          <w:bCs/>
          <w:iCs/>
          <w:color w:val="000000"/>
          <w:sz w:val="24"/>
        </w:rPr>
        <w:t>证券代码：000031                        证券简称：中粮地产</w:t>
      </w:r>
    </w:p>
    <w:p w:rsidR="00966F7F" w:rsidRPr="0022619D" w:rsidRDefault="00966F7F" w:rsidP="002F3F62">
      <w:pPr>
        <w:spacing w:beforeLines="50" w:before="180" w:afterLines="50" w:after="180" w:line="400" w:lineRule="exact"/>
        <w:jc w:val="center"/>
        <w:rPr>
          <w:rFonts w:ascii="黑体" w:eastAsia="黑体" w:hAnsi="黑体"/>
          <w:bCs/>
          <w:iCs/>
          <w:color w:val="000000"/>
          <w:sz w:val="28"/>
          <w:szCs w:val="28"/>
        </w:rPr>
      </w:pPr>
      <w:r w:rsidRPr="0022619D">
        <w:rPr>
          <w:rFonts w:ascii="黑体" w:eastAsia="黑体" w:hAnsi="黑体" w:hint="eastAsia"/>
          <w:bCs/>
          <w:iCs/>
          <w:color w:val="000000"/>
          <w:sz w:val="28"/>
          <w:szCs w:val="28"/>
        </w:rPr>
        <w:t>中粮地产（集团）股份有限公司投资者关系活动记录表</w:t>
      </w:r>
    </w:p>
    <w:p w:rsidR="00966F7F" w:rsidRPr="0022619D" w:rsidRDefault="00966F7F" w:rsidP="00E45CCD">
      <w:pPr>
        <w:spacing w:line="400" w:lineRule="exact"/>
        <w:jc w:val="right"/>
        <w:rPr>
          <w:rFonts w:ascii="宋体" w:hAnsi="宋体"/>
          <w:bCs/>
          <w:iCs/>
          <w:color w:val="000000"/>
          <w:sz w:val="24"/>
        </w:rPr>
      </w:pPr>
      <w:r w:rsidRPr="0022619D">
        <w:rPr>
          <w:rFonts w:ascii="宋体" w:hAnsi="宋体" w:hint="eastAsia"/>
          <w:bCs/>
          <w:iCs/>
          <w:color w:val="000000"/>
          <w:sz w:val="24"/>
        </w:rPr>
        <w:t>编号：</w:t>
      </w:r>
      <w:r w:rsidR="002F38E0" w:rsidRPr="0022619D">
        <w:rPr>
          <w:rFonts w:ascii="宋体" w:hAnsi="宋体" w:hint="eastAsia"/>
          <w:bCs/>
          <w:iCs/>
          <w:color w:val="000000"/>
          <w:sz w:val="24"/>
        </w:rPr>
        <w:t>201</w:t>
      </w:r>
      <w:r w:rsidR="006C0CAF" w:rsidRPr="0022619D">
        <w:rPr>
          <w:rFonts w:ascii="宋体" w:hAnsi="宋体"/>
          <w:bCs/>
          <w:iCs/>
          <w:color w:val="000000"/>
          <w:sz w:val="24"/>
        </w:rPr>
        <w:t>9</w:t>
      </w:r>
      <w:r w:rsidR="00951E64" w:rsidRPr="0022619D">
        <w:rPr>
          <w:rFonts w:ascii="宋体" w:hAnsi="宋体" w:hint="eastAsia"/>
          <w:bCs/>
          <w:iCs/>
          <w:color w:val="000000"/>
          <w:sz w:val="24"/>
        </w:rPr>
        <w:t>-00</w:t>
      </w:r>
      <w:r w:rsidR="006C0CAF" w:rsidRPr="0022619D">
        <w:rPr>
          <w:rFonts w:ascii="宋体" w:hAnsi="宋体" w:hint="eastAsia"/>
          <w:bCs/>
          <w:iCs/>
          <w:color w:val="000000"/>
          <w:sz w:val="24"/>
        </w:rPr>
        <w:t>1</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229"/>
      </w:tblGrid>
      <w:tr w:rsidR="00966F7F" w:rsidRPr="0022619D"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6831C9">
            <w:pPr>
              <w:spacing w:line="276" w:lineRule="auto"/>
              <w:rPr>
                <w:rFonts w:ascii="宋体" w:hAnsi="宋体"/>
                <w:b/>
                <w:bCs/>
                <w:iCs/>
                <w:color w:val="000000"/>
                <w:sz w:val="24"/>
              </w:rPr>
            </w:pPr>
            <w:r w:rsidRPr="0022619D">
              <w:rPr>
                <w:rFonts w:ascii="宋体" w:hAnsi="宋体" w:hint="eastAsia"/>
                <w:b/>
                <w:bCs/>
                <w:iCs/>
                <w:color w:val="000000"/>
                <w:sz w:val="24"/>
              </w:rPr>
              <w:t>投资者关系活动类别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22619D" w:rsidRDefault="00FA0B97" w:rsidP="001A08BA">
            <w:pPr>
              <w:spacing w:line="480" w:lineRule="atLeast"/>
              <w:rPr>
                <w:rFonts w:ascii="宋体" w:hAnsi="宋体"/>
                <w:bCs/>
                <w:iCs/>
                <w:color w:val="000000"/>
                <w:sz w:val="24"/>
              </w:rPr>
            </w:pPr>
            <w:r w:rsidRPr="0022619D">
              <w:rPr>
                <w:rFonts w:ascii="宋体" w:hAnsi="宋体" w:hint="eastAsia"/>
                <w:bCs/>
                <w:iCs/>
                <w:color w:val="000000"/>
                <w:sz w:val="24"/>
              </w:rPr>
              <w:t>√</w:t>
            </w:r>
            <w:r w:rsidR="00966F7F" w:rsidRPr="0022619D">
              <w:rPr>
                <w:rFonts w:ascii="宋体" w:hAnsi="宋体" w:hint="eastAsia"/>
                <w:sz w:val="24"/>
              </w:rPr>
              <w:t xml:space="preserve">特定对象调研        </w:t>
            </w:r>
            <w:r w:rsidR="00966F7F" w:rsidRPr="0022619D">
              <w:rPr>
                <w:rFonts w:ascii="宋体" w:hAnsi="宋体" w:hint="eastAsia"/>
                <w:bCs/>
                <w:iCs/>
                <w:color w:val="000000"/>
                <w:sz w:val="24"/>
              </w:rPr>
              <w:t>□</w:t>
            </w:r>
            <w:r w:rsidR="00966F7F" w:rsidRPr="0022619D">
              <w:rPr>
                <w:rFonts w:ascii="宋体" w:hAnsi="宋体" w:hint="eastAsia"/>
                <w:sz w:val="24"/>
              </w:rPr>
              <w:t>分析师会议</w:t>
            </w:r>
          </w:p>
          <w:p w:rsidR="00966F7F" w:rsidRPr="0022619D" w:rsidRDefault="00966F7F" w:rsidP="001A08BA">
            <w:pPr>
              <w:spacing w:line="480" w:lineRule="atLeast"/>
              <w:rPr>
                <w:rFonts w:ascii="宋体" w:hAnsi="宋体"/>
                <w:bCs/>
                <w:iCs/>
                <w:color w:val="000000"/>
                <w:sz w:val="24"/>
              </w:rPr>
            </w:pPr>
            <w:r w:rsidRPr="0022619D">
              <w:rPr>
                <w:rFonts w:ascii="宋体" w:hAnsi="宋体" w:hint="eastAsia"/>
                <w:bCs/>
                <w:iCs/>
                <w:color w:val="000000"/>
                <w:sz w:val="24"/>
              </w:rPr>
              <w:t>□</w:t>
            </w:r>
            <w:r w:rsidRPr="0022619D">
              <w:rPr>
                <w:rFonts w:ascii="宋体" w:hAnsi="宋体" w:hint="eastAsia"/>
                <w:sz w:val="24"/>
              </w:rPr>
              <w:t xml:space="preserve">媒体采访            </w:t>
            </w:r>
            <w:r w:rsidRPr="0022619D">
              <w:rPr>
                <w:rFonts w:ascii="宋体" w:hAnsi="宋体" w:hint="eastAsia"/>
                <w:bCs/>
                <w:iCs/>
                <w:color w:val="000000"/>
                <w:sz w:val="24"/>
              </w:rPr>
              <w:t>□</w:t>
            </w:r>
            <w:r w:rsidRPr="0022619D">
              <w:rPr>
                <w:rFonts w:ascii="宋体" w:hAnsi="宋体" w:hint="eastAsia"/>
                <w:sz w:val="24"/>
              </w:rPr>
              <w:t>业绩说明会</w:t>
            </w:r>
          </w:p>
          <w:p w:rsidR="00966F7F" w:rsidRPr="0022619D" w:rsidRDefault="00966F7F" w:rsidP="001A08BA">
            <w:pPr>
              <w:spacing w:line="480" w:lineRule="atLeast"/>
              <w:rPr>
                <w:rFonts w:ascii="宋体" w:hAnsi="宋体"/>
                <w:bCs/>
                <w:iCs/>
                <w:color w:val="000000"/>
                <w:sz w:val="24"/>
              </w:rPr>
            </w:pPr>
            <w:r w:rsidRPr="0022619D">
              <w:rPr>
                <w:rFonts w:ascii="宋体" w:hAnsi="宋体" w:hint="eastAsia"/>
                <w:bCs/>
                <w:iCs/>
                <w:color w:val="000000"/>
                <w:sz w:val="24"/>
              </w:rPr>
              <w:t>□</w:t>
            </w:r>
            <w:r w:rsidRPr="0022619D">
              <w:rPr>
                <w:rFonts w:ascii="宋体" w:hAnsi="宋体" w:hint="eastAsia"/>
                <w:sz w:val="24"/>
              </w:rPr>
              <w:t xml:space="preserve">新闻发布会          </w:t>
            </w:r>
            <w:r w:rsidR="00FA0B97" w:rsidRPr="0022619D">
              <w:rPr>
                <w:rFonts w:ascii="宋体" w:hAnsi="宋体" w:hint="eastAsia"/>
                <w:bCs/>
                <w:iCs/>
                <w:color w:val="000000"/>
                <w:sz w:val="24"/>
              </w:rPr>
              <w:t>□</w:t>
            </w:r>
            <w:r w:rsidRPr="0022619D">
              <w:rPr>
                <w:rFonts w:ascii="宋体" w:hAnsi="宋体" w:hint="eastAsia"/>
                <w:sz w:val="24"/>
              </w:rPr>
              <w:t>路演活动</w:t>
            </w:r>
          </w:p>
          <w:p w:rsidR="00966F7F" w:rsidRPr="0022619D" w:rsidRDefault="00966F7F" w:rsidP="001A08BA">
            <w:pPr>
              <w:tabs>
                <w:tab w:val="left" w:pos="3045"/>
                <w:tab w:val="center" w:pos="3199"/>
              </w:tabs>
              <w:spacing w:line="480" w:lineRule="atLeast"/>
              <w:rPr>
                <w:rFonts w:ascii="宋体" w:hAnsi="宋体"/>
                <w:bCs/>
                <w:iCs/>
                <w:color w:val="000000"/>
                <w:sz w:val="24"/>
              </w:rPr>
            </w:pPr>
            <w:r w:rsidRPr="0022619D">
              <w:rPr>
                <w:rFonts w:ascii="宋体" w:hAnsi="宋体" w:hint="eastAsia"/>
                <w:bCs/>
                <w:iCs/>
                <w:color w:val="000000"/>
                <w:sz w:val="24"/>
              </w:rPr>
              <w:t>□</w:t>
            </w:r>
            <w:r w:rsidRPr="0022619D">
              <w:rPr>
                <w:rFonts w:ascii="宋体" w:hAnsi="宋体" w:hint="eastAsia"/>
                <w:sz w:val="24"/>
              </w:rPr>
              <w:t>现场参观</w:t>
            </w:r>
            <w:r w:rsidRPr="0022619D">
              <w:rPr>
                <w:rFonts w:ascii="宋体" w:hAnsi="宋体" w:hint="eastAsia"/>
                <w:bCs/>
                <w:iCs/>
                <w:color w:val="000000"/>
                <w:sz w:val="24"/>
              </w:rPr>
              <w:tab/>
            </w:r>
          </w:p>
          <w:p w:rsidR="00966F7F" w:rsidRPr="0022619D" w:rsidRDefault="00966F7F" w:rsidP="001A08BA">
            <w:pPr>
              <w:tabs>
                <w:tab w:val="center" w:pos="3199"/>
              </w:tabs>
              <w:spacing w:line="480" w:lineRule="atLeast"/>
              <w:rPr>
                <w:rFonts w:ascii="宋体" w:hAnsi="宋体"/>
                <w:bCs/>
                <w:iCs/>
                <w:color w:val="000000"/>
                <w:sz w:val="24"/>
              </w:rPr>
            </w:pPr>
            <w:r w:rsidRPr="0022619D">
              <w:rPr>
                <w:rFonts w:ascii="宋体" w:hAnsi="宋体" w:hint="eastAsia"/>
                <w:bCs/>
                <w:iCs/>
                <w:color w:val="000000"/>
                <w:sz w:val="24"/>
              </w:rPr>
              <w:t>□</w:t>
            </w:r>
            <w:r w:rsidRPr="0022619D">
              <w:rPr>
                <w:rFonts w:ascii="宋体" w:hAnsi="宋体" w:hint="eastAsia"/>
                <w:sz w:val="24"/>
              </w:rPr>
              <w:t>其他 （</w:t>
            </w:r>
            <w:r w:rsidRPr="0022619D">
              <w:rPr>
                <w:rFonts w:ascii="宋体" w:hAnsi="宋体" w:hint="eastAsia"/>
                <w:sz w:val="24"/>
                <w:u w:val="single"/>
              </w:rPr>
              <w:t>请文字说明其他活动内容）</w:t>
            </w:r>
            <w:bookmarkStart w:id="0" w:name="_GoBack"/>
            <w:bookmarkEnd w:id="0"/>
          </w:p>
        </w:tc>
      </w:tr>
      <w:tr w:rsidR="00966F7F" w:rsidRPr="0022619D"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6831C9">
            <w:pPr>
              <w:spacing w:line="276" w:lineRule="auto"/>
              <w:rPr>
                <w:rFonts w:ascii="宋体" w:hAnsi="宋体"/>
                <w:b/>
                <w:bCs/>
                <w:iCs/>
                <w:color w:val="000000"/>
                <w:sz w:val="24"/>
              </w:rPr>
            </w:pPr>
            <w:r w:rsidRPr="0022619D">
              <w:rPr>
                <w:rFonts w:ascii="宋体" w:hAnsi="宋体" w:hint="eastAsia"/>
                <w:b/>
                <w:bCs/>
                <w:iCs/>
                <w:color w:val="000000"/>
                <w:sz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0637CF" w:rsidRPr="0022619D" w:rsidRDefault="000637CF" w:rsidP="00B952A1">
            <w:pPr>
              <w:spacing w:line="360" w:lineRule="auto"/>
              <w:rPr>
                <w:rFonts w:ascii="宋体" w:hAnsi="宋体"/>
                <w:bCs/>
                <w:iCs/>
                <w:color w:val="000000"/>
                <w:sz w:val="24"/>
              </w:rPr>
            </w:pPr>
            <w:r w:rsidRPr="0022619D">
              <w:rPr>
                <w:rFonts w:ascii="宋体" w:hAnsi="宋体" w:hint="eastAsia"/>
                <w:bCs/>
                <w:iCs/>
                <w:color w:val="000000"/>
                <w:sz w:val="24"/>
              </w:rPr>
              <w:t>东方证券 房诚琦</w:t>
            </w:r>
          </w:p>
          <w:p w:rsidR="00A97BF5" w:rsidRPr="0022619D" w:rsidRDefault="000637CF" w:rsidP="00B952A1">
            <w:pPr>
              <w:spacing w:line="360" w:lineRule="auto"/>
              <w:rPr>
                <w:rFonts w:ascii="宋体" w:hAnsi="宋体"/>
                <w:bCs/>
                <w:iCs/>
                <w:color w:val="000000"/>
                <w:sz w:val="24"/>
              </w:rPr>
            </w:pPr>
            <w:r w:rsidRPr="0022619D">
              <w:rPr>
                <w:rFonts w:ascii="宋体" w:hAnsi="宋体" w:hint="eastAsia"/>
                <w:bCs/>
                <w:iCs/>
                <w:color w:val="000000"/>
                <w:sz w:val="24"/>
              </w:rPr>
              <w:t>广发基金 蔡宇杰</w:t>
            </w:r>
          </w:p>
          <w:p w:rsidR="000637CF" w:rsidRPr="0022619D" w:rsidRDefault="000637CF" w:rsidP="00B952A1">
            <w:pPr>
              <w:spacing w:line="360" w:lineRule="auto"/>
              <w:rPr>
                <w:rFonts w:ascii="宋体" w:hAnsi="宋体"/>
                <w:bCs/>
                <w:iCs/>
                <w:color w:val="000000"/>
                <w:sz w:val="24"/>
              </w:rPr>
            </w:pPr>
            <w:r w:rsidRPr="0022619D">
              <w:rPr>
                <w:rFonts w:ascii="宋体" w:hAnsi="宋体" w:hint="eastAsia"/>
                <w:bCs/>
                <w:iCs/>
                <w:color w:val="000000"/>
                <w:sz w:val="24"/>
              </w:rPr>
              <w:t>中欧基金 彭震威</w:t>
            </w:r>
          </w:p>
          <w:p w:rsidR="000637CF" w:rsidRPr="0022619D" w:rsidRDefault="000637CF" w:rsidP="00B952A1">
            <w:pPr>
              <w:spacing w:line="360" w:lineRule="auto"/>
              <w:rPr>
                <w:rFonts w:ascii="宋体" w:hAnsi="宋体"/>
                <w:bCs/>
                <w:iCs/>
                <w:color w:val="000000"/>
                <w:sz w:val="24"/>
              </w:rPr>
            </w:pPr>
            <w:r w:rsidRPr="0022619D">
              <w:rPr>
                <w:rFonts w:ascii="宋体" w:hAnsi="宋体" w:hint="eastAsia"/>
                <w:bCs/>
                <w:iCs/>
                <w:color w:val="000000"/>
                <w:sz w:val="24"/>
              </w:rPr>
              <w:t>融通基金 姜好幸</w:t>
            </w:r>
          </w:p>
          <w:p w:rsidR="000637CF" w:rsidRPr="0022619D" w:rsidRDefault="000637CF" w:rsidP="00B952A1">
            <w:pPr>
              <w:spacing w:line="360" w:lineRule="auto"/>
              <w:rPr>
                <w:rFonts w:ascii="宋体" w:hAnsi="宋体"/>
                <w:bCs/>
                <w:iCs/>
                <w:color w:val="000000"/>
                <w:sz w:val="24"/>
              </w:rPr>
            </w:pPr>
            <w:r w:rsidRPr="0022619D">
              <w:rPr>
                <w:rFonts w:ascii="宋体" w:hAnsi="宋体" w:hint="eastAsia"/>
                <w:bCs/>
                <w:iCs/>
                <w:color w:val="000000"/>
                <w:sz w:val="24"/>
              </w:rPr>
              <w:t>华夏基金 艾邦妮</w:t>
            </w:r>
          </w:p>
          <w:p w:rsidR="000637CF" w:rsidRPr="0022619D" w:rsidRDefault="000637CF" w:rsidP="00B952A1">
            <w:pPr>
              <w:spacing w:line="360" w:lineRule="auto"/>
              <w:rPr>
                <w:rFonts w:ascii="宋体" w:hAnsi="宋体"/>
                <w:bCs/>
                <w:iCs/>
                <w:color w:val="000000"/>
                <w:sz w:val="24"/>
              </w:rPr>
            </w:pPr>
            <w:r w:rsidRPr="0022619D">
              <w:rPr>
                <w:rFonts w:ascii="宋体" w:hAnsi="宋体" w:hint="eastAsia"/>
                <w:bCs/>
                <w:iCs/>
                <w:color w:val="000000"/>
                <w:sz w:val="24"/>
              </w:rPr>
              <w:t>建信基金 杨荔媛</w:t>
            </w:r>
          </w:p>
        </w:tc>
      </w:tr>
      <w:tr w:rsidR="00966F7F" w:rsidRPr="0022619D"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C3666D">
            <w:pPr>
              <w:spacing w:line="480" w:lineRule="atLeast"/>
              <w:rPr>
                <w:rFonts w:ascii="宋体" w:hAnsi="宋体"/>
                <w:b/>
                <w:bCs/>
                <w:iCs/>
                <w:color w:val="000000"/>
                <w:sz w:val="24"/>
              </w:rPr>
            </w:pPr>
            <w:r w:rsidRPr="0022619D">
              <w:rPr>
                <w:rFonts w:ascii="宋体" w:hAnsi="宋体" w:hint="eastAsia"/>
                <w:b/>
                <w:bCs/>
                <w:iCs/>
                <w:color w:val="000000"/>
                <w:sz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B952A1">
            <w:pPr>
              <w:spacing w:line="360" w:lineRule="auto"/>
              <w:rPr>
                <w:rFonts w:ascii="宋体" w:hAnsi="宋体"/>
                <w:bCs/>
                <w:iCs/>
                <w:color w:val="000000"/>
                <w:sz w:val="24"/>
              </w:rPr>
            </w:pPr>
            <w:r w:rsidRPr="0022619D">
              <w:rPr>
                <w:rFonts w:ascii="宋体" w:hAnsi="宋体" w:hint="eastAsia"/>
                <w:bCs/>
                <w:iCs/>
                <w:color w:val="000000"/>
                <w:sz w:val="24"/>
              </w:rPr>
              <w:t>201</w:t>
            </w:r>
            <w:r w:rsidR="006C0CAF" w:rsidRPr="0022619D">
              <w:rPr>
                <w:rFonts w:ascii="宋体" w:hAnsi="宋体" w:hint="eastAsia"/>
                <w:bCs/>
                <w:iCs/>
                <w:color w:val="000000"/>
                <w:sz w:val="24"/>
              </w:rPr>
              <w:t>9</w:t>
            </w:r>
            <w:r w:rsidRPr="0022619D">
              <w:rPr>
                <w:rFonts w:ascii="宋体" w:hAnsi="宋体" w:hint="eastAsia"/>
                <w:bCs/>
                <w:iCs/>
                <w:color w:val="000000"/>
                <w:sz w:val="24"/>
              </w:rPr>
              <w:t>.</w:t>
            </w:r>
            <w:r w:rsidR="006C0CAF" w:rsidRPr="0022619D">
              <w:rPr>
                <w:rFonts w:ascii="宋体" w:hAnsi="宋体" w:hint="eastAsia"/>
                <w:bCs/>
                <w:iCs/>
                <w:color w:val="000000"/>
                <w:sz w:val="24"/>
              </w:rPr>
              <w:t>01.24</w:t>
            </w:r>
            <w:r w:rsidR="00F15DDE" w:rsidRPr="0022619D">
              <w:rPr>
                <w:rFonts w:ascii="宋体" w:hAnsi="宋体" w:hint="eastAsia"/>
                <w:bCs/>
                <w:iCs/>
                <w:color w:val="000000"/>
                <w:sz w:val="24"/>
              </w:rPr>
              <w:t xml:space="preserve">  </w:t>
            </w:r>
            <w:r w:rsidR="00FA0B97" w:rsidRPr="0022619D">
              <w:rPr>
                <w:rFonts w:ascii="宋体" w:hAnsi="宋体" w:hint="eastAsia"/>
                <w:bCs/>
                <w:iCs/>
                <w:color w:val="000000"/>
                <w:sz w:val="24"/>
              </w:rPr>
              <w:t>1</w:t>
            </w:r>
            <w:r w:rsidR="00B952A1" w:rsidRPr="0022619D">
              <w:rPr>
                <w:rFonts w:ascii="宋体" w:hAnsi="宋体" w:hint="eastAsia"/>
                <w:bCs/>
                <w:iCs/>
                <w:color w:val="000000"/>
                <w:sz w:val="24"/>
              </w:rPr>
              <w:t>5:00</w:t>
            </w:r>
            <w:r w:rsidR="00962DAD" w:rsidRPr="0022619D">
              <w:rPr>
                <w:rFonts w:ascii="宋体" w:hAnsi="宋体" w:hint="eastAsia"/>
                <w:bCs/>
                <w:iCs/>
                <w:color w:val="000000"/>
                <w:sz w:val="24"/>
              </w:rPr>
              <w:t>-</w:t>
            </w:r>
            <w:r w:rsidR="008F5238" w:rsidRPr="0022619D">
              <w:rPr>
                <w:rFonts w:ascii="宋体" w:hAnsi="宋体" w:hint="eastAsia"/>
                <w:bCs/>
                <w:iCs/>
                <w:color w:val="000000"/>
                <w:sz w:val="24"/>
              </w:rPr>
              <w:t>16</w:t>
            </w:r>
            <w:r w:rsidR="00962DAD" w:rsidRPr="0022619D">
              <w:rPr>
                <w:rFonts w:ascii="宋体" w:hAnsi="宋体" w:hint="eastAsia"/>
                <w:bCs/>
                <w:iCs/>
                <w:color w:val="000000"/>
                <w:sz w:val="24"/>
              </w:rPr>
              <w:t>：</w:t>
            </w:r>
            <w:r w:rsidR="0097048C" w:rsidRPr="0022619D">
              <w:rPr>
                <w:rFonts w:ascii="宋体" w:hAnsi="宋体" w:hint="eastAsia"/>
                <w:bCs/>
                <w:iCs/>
                <w:color w:val="000000"/>
                <w:sz w:val="24"/>
              </w:rPr>
              <w:t>3</w:t>
            </w:r>
            <w:r w:rsidR="00A75962" w:rsidRPr="0022619D">
              <w:rPr>
                <w:rFonts w:ascii="宋体" w:hAnsi="宋体" w:hint="eastAsia"/>
                <w:bCs/>
                <w:iCs/>
                <w:color w:val="000000"/>
                <w:sz w:val="24"/>
              </w:rPr>
              <w:t>0</w:t>
            </w:r>
          </w:p>
        </w:tc>
      </w:tr>
      <w:tr w:rsidR="00966F7F" w:rsidRPr="0022619D"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C3666D">
            <w:pPr>
              <w:spacing w:line="480" w:lineRule="atLeast"/>
              <w:rPr>
                <w:rFonts w:ascii="宋体" w:hAnsi="宋体"/>
                <w:b/>
                <w:bCs/>
                <w:iCs/>
                <w:color w:val="000000"/>
                <w:sz w:val="24"/>
              </w:rPr>
            </w:pPr>
            <w:r w:rsidRPr="0022619D">
              <w:rPr>
                <w:rFonts w:ascii="宋体" w:hAnsi="宋体" w:hint="eastAsia"/>
                <w:b/>
                <w:bCs/>
                <w:iCs/>
                <w:color w:val="000000"/>
                <w:sz w:val="24"/>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B952A1">
            <w:pPr>
              <w:spacing w:line="360" w:lineRule="auto"/>
              <w:rPr>
                <w:rFonts w:ascii="宋体" w:hAnsi="宋体"/>
                <w:bCs/>
                <w:iCs/>
                <w:color w:val="000000"/>
                <w:sz w:val="24"/>
              </w:rPr>
            </w:pPr>
            <w:r w:rsidRPr="0022619D">
              <w:rPr>
                <w:rFonts w:ascii="宋体" w:hAnsi="宋体" w:hint="eastAsia"/>
                <w:bCs/>
                <w:iCs/>
                <w:color w:val="000000"/>
                <w:sz w:val="24"/>
              </w:rPr>
              <w:t>深圳市福田区福华一路1号大中华国际交易广场35层会议室</w:t>
            </w:r>
          </w:p>
        </w:tc>
      </w:tr>
      <w:tr w:rsidR="00966F7F" w:rsidRPr="0022619D"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6831C9">
            <w:pPr>
              <w:spacing w:line="276" w:lineRule="auto"/>
              <w:rPr>
                <w:rFonts w:ascii="宋体" w:hAnsi="宋体"/>
                <w:b/>
                <w:bCs/>
                <w:iCs/>
                <w:color w:val="000000"/>
                <w:sz w:val="24"/>
              </w:rPr>
            </w:pPr>
            <w:r w:rsidRPr="0022619D">
              <w:rPr>
                <w:rFonts w:ascii="宋体" w:hAnsi="宋体" w:hint="eastAsia"/>
                <w:b/>
                <w:bCs/>
                <w:iCs/>
                <w:color w:val="000000"/>
                <w:sz w:val="24"/>
              </w:rPr>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8665C0" w:rsidRPr="0022619D" w:rsidRDefault="00B952A1" w:rsidP="00B952A1">
            <w:pPr>
              <w:spacing w:line="360" w:lineRule="auto"/>
              <w:rPr>
                <w:rFonts w:ascii="宋体" w:hAnsi="宋体"/>
                <w:bCs/>
                <w:iCs/>
                <w:color w:val="000000"/>
                <w:sz w:val="24"/>
              </w:rPr>
            </w:pPr>
            <w:r w:rsidRPr="0022619D">
              <w:rPr>
                <w:rFonts w:ascii="宋体" w:hAnsi="宋体" w:hint="eastAsia"/>
                <w:bCs/>
                <w:iCs/>
                <w:color w:val="000000"/>
                <w:sz w:val="24"/>
              </w:rPr>
              <w:t>证券</w:t>
            </w:r>
            <w:r w:rsidR="006C0CAF" w:rsidRPr="0022619D">
              <w:rPr>
                <w:rFonts w:ascii="宋体" w:hAnsi="宋体" w:hint="eastAsia"/>
                <w:bCs/>
                <w:iCs/>
                <w:color w:val="000000"/>
                <w:sz w:val="24"/>
              </w:rPr>
              <w:t>事务部</w:t>
            </w:r>
            <w:r w:rsidRPr="0022619D">
              <w:rPr>
                <w:rFonts w:ascii="宋体" w:hAnsi="宋体" w:hint="eastAsia"/>
                <w:bCs/>
                <w:iCs/>
                <w:color w:val="000000"/>
                <w:sz w:val="24"/>
              </w:rPr>
              <w:t xml:space="preserve">  </w:t>
            </w:r>
            <w:r w:rsidR="006C0CAF" w:rsidRPr="0022619D">
              <w:rPr>
                <w:rFonts w:ascii="宋体" w:hAnsi="宋体"/>
                <w:bCs/>
                <w:iCs/>
                <w:color w:val="000000"/>
                <w:sz w:val="24"/>
              </w:rPr>
              <w:t xml:space="preserve">  </w:t>
            </w:r>
            <w:r w:rsidR="000637CF" w:rsidRPr="0022619D">
              <w:rPr>
                <w:rFonts w:ascii="宋体" w:hAnsi="宋体" w:hint="eastAsia"/>
                <w:bCs/>
                <w:iCs/>
                <w:color w:val="000000"/>
                <w:sz w:val="24"/>
              </w:rPr>
              <w:t>杨</w:t>
            </w:r>
            <w:r w:rsidR="006C0CAF" w:rsidRPr="0022619D">
              <w:rPr>
                <w:rFonts w:ascii="宋体" w:hAnsi="宋体" w:hint="eastAsia"/>
                <w:bCs/>
                <w:iCs/>
                <w:color w:val="000000"/>
                <w:sz w:val="24"/>
              </w:rPr>
              <w:t>杰、</w:t>
            </w:r>
            <w:r w:rsidR="006C0CAF" w:rsidRPr="0022619D">
              <w:rPr>
                <w:rFonts w:ascii="宋体" w:hAnsi="宋体"/>
                <w:bCs/>
                <w:iCs/>
                <w:color w:val="000000"/>
                <w:sz w:val="24"/>
              </w:rPr>
              <w:t>葛彦彤、罗希</w:t>
            </w:r>
          </w:p>
        </w:tc>
      </w:tr>
      <w:tr w:rsidR="00966F7F" w:rsidRPr="0022619D" w:rsidTr="006C0CAF">
        <w:tc>
          <w:tcPr>
            <w:tcW w:w="1986"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C3666D">
            <w:pPr>
              <w:spacing w:line="480" w:lineRule="atLeast"/>
              <w:rPr>
                <w:rFonts w:ascii="宋体" w:hAnsi="宋体"/>
                <w:b/>
                <w:bCs/>
                <w:iCs/>
                <w:color w:val="000000"/>
                <w:sz w:val="24"/>
              </w:rPr>
            </w:pPr>
            <w:r w:rsidRPr="0022619D">
              <w:rPr>
                <w:rFonts w:ascii="宋体" w:hAnsi="宋体" w:hint="eastAsia"/>
                <w:b/>
                <w:bCs/>
                <w:iCs/>
                <w:color w:val="000000"/>
                <w:sz w:val="24"/>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C11442" w:rsidRPr="0022619D" w:rsidRDefault="008D0573" w:rsidP="00B952A1">
            <w:pPr>
              <w:adjustRightInd w:val="0"/>
              <w:snapToGrid w:val="0"/>
              <w:spacing w:line="360" w:lineRule="auto"/>
              <w:ind w:firstLine="482"/>
              <w:rPr>
                <w:rFonts w:asciiTheme="majorEastAsia" w:eastAsiaTheme="majorEastAsia" w:hAnsiTheme="majorEastAsia"/>
                <w:b/>
                <w:sz w:val="24"/>
              </w:rPr>
            </w:pPr>
            <w:r w:rsidRPr="0022619D">
              <w:rPr>
                <w:rFonts w:asciiTheme="majorEastAsia" w:eastAsiaTheme="majorEastAsia" w:hAnsiTheme="majorEastAsia" w:hint="eastAsia"/>
                <w:b/>
                <w:bCs/>
                <w:iCs/>
                <w:color w:val="000000"/>
                <w:kern w:val="0"/>
                <w:sz w:val="24"/>
              </w:rPr>
              <w:t>1、</w:t>
            </w:r>
            <w:r w:rsidR="00C11442" w:rsidRPr="0022619D">
              <w:rPr>
                <w:rFonts w:asciiTheme="majorEastAsia" w:eastAsiaTheme="majorEastAsia" w:hAnsiTheme="majorEastAsia" w:hint="eastAsia"/>
                <w:b/>
                <w:sz w:val="24"/>
              </w:rPr>
              <w:t>关于</w:t>
            </w:r>
            <w:r w:rsidR="000637CF" w:rsidRPr="0022619D">
              <w:rPr>
                <w:rFonts w:asciiTheme="majorEastAsia" w:eastAsiaTheme="majorEastAsia" w:hAnsiTheme="majorEastAsia" w:hint="eastAsia"/>
                <w:b/>
                <w:sz w:val="24"/>
              </w:rPr>
              <w:t>重组证监会</w:t>
            </w:r>
            <w:r w:rsidR="000637CF" w:rsidRPr="0022619D">
              <w:rPr>
                <w:rFonts w:asciiTheme="majorEastAsia" w:eastAsiaTheme="majorEastAsia" w:hAnsiTheme="majorEastAsia"/>
                <w:b/>
                <w:sz w:val="24"/>
              </w:rPr>
              <w:t>审核情况以及目前的进展</w:t>
            </w:r>
          </w:p>
          <w:p w:rsidR="00C11442" w:rsidRPr="0022619D" w:rsidRDefault="008E2FBC" w:rsidP="000637CF">
            <w:pPr>
              <w:pStyle w:val="Default"/>
              <w:spacing w:line="360" w:lineRule="auto"/>
              <w:ind w:firstLineChars="200" w:firstLine="480"/>
              <w:jc w:val="both"/>
              <w:rPr>
                <w:rFonts w:asciiTheme="minorEastAsia" w:eastAsiaTheme="minorEastAsia" w:hAnsiTheme="minorEastAsia" w:cs="Times New Roman"/>
              </w:rPr>
            </w:pPr>
            <w:r w:rsidRPr="0022619D">
              <w:rPr>
                <w:rFonts w:asciiTheme="minorEastAsia" w:eastAsiaTheme="minorEastAsia" w:hAnsiTheme="minorEastAsia" w:cs="Times New Roman" w:hint="eastAsia"/>
              </w:rPr>
              <w:t>公司</w:t>
            </w:r>
            <w:r w:rsidRPr="0022619D">
              <w:rPr>
                <w:rFonts w:asciiTheme="minorEastAsia" w:eastAsiaTheme="minorEastAsia" w:hAnsiTheme="minorEastAsia" w:cs="Times New Roman"/>
              </w:rPr>
              <w:t>本次发行股份购买资产</w:t>
            </w:r>
            <w:r w:rsidRPr="0022619D">
              <w:rPr>
                <w:rFonts w:asciiTheme="minorEastAsia" w:eastAsiaTheme="minorEastAsia" w:hAnsiTheme="minorEastAsia" w:cs="Times New Roman" w:hint="eastAsia"/>
              </w:rPr>
              <w:t>并</w:t>
            </w:r>
            <w:r w:rsidRPr="0022619D">
              <w:rPr>
                <w:rFonts w:asciiTheme="minorEastAsia" w:eastAsiaTheme="minorEastAsia" w:hAnsiTheme="minorEastAsia" w:cs="Times New Roman"/>
              </w:rPr>
              <w:t>募集配套资金</w:t>
            </w:r>
            <w:r w:rsidRPr="0022619D">
              <w:rPr>
                <w:rFonts w:asciiTheme="minorEastAsia" w:eastAsiaTheme="minorEastAsia" w:hAnsiTheme="minorEastAsia" w:cs="Times New Roman" w:hint="eastAsia"/>
              </w:rPr>
              <w:t>相关</w:t>
            </w:r>
            <w:r w:rsidRPr="0022619D">
              <w:rPr>
                <w:rFonts w:asciiTheme="minorEastAsia" w:eastAsiaTheme="minorEastAsia" w:hAnsiTheme="minorEastAsia" w:cs="Times New Roman"/>
              </w:rPr>
              <w:t>事项</w:t>
            </w:r>
            <w:r w:rsidRPr="0022619D">
              <w:rPr>
                <w:rFonts w:asciiTheme="minorEastAsia" w:eastAsiaTheme="minorEastAsia" w:hAnsiTheme="minorEastAsia" w:cs="Times New Roman" w:hint="eastAsia"/>
              </w:rPr>
              <w:t>已于2018年12月4日</w:t>
            </w:r>
            <w:r w:rsidRPr="0022619D">
              <w:rPr>
                <w:rFonts w:asciiTheme="minorEastAsia" w:eastAsiaTheme="minorEastAsia" w:hAnsiTheme="minorEastAsia" w:cs="Times New Roman"/>
              </w:rPr>
              <w:t>二次提交证监会审核时获得证监会并购重组委无条件</w:t>
            </w:r>
            <w:r w:rsidR="002366A2" w:rsidRPr="0022619D">
              <w:rPr>
                <w:rFonts w:asciiTheme="minorEastAsia" w:eastAsiaTheme="minorEastAsia" w:hAnsiTheme="minorEastAsia" w:cs="Times New Roman" w:hint="eastAsia"/>
              </w:rPr>
              <w:t>同意</w:t>
            </w:r>
            <w:r w:rsidRPr="0022619D">
              <w:rPr>
                <w:rFonts w:asciiTheme="minorEastAsia" w:eastAsiaTheme="minorEastAsia" w:hAnsiTheme="minorEastAsia" w:cs="Times New Roman"/>
              </w:rPr>
              <w:t>，并已于</w:t>
            </w:r>
            <w:r w:rsidRPr="0022619D">
              <w:rPr>
                <w:rFonts w:asciiTheme="minorEastAsia" w:eastAsiaTheme="minorEastAsia" w:hAnsiTheme="minorEastAsia" w:cs="Times New Roman" w:hint="eastAsia"/>
              </w:rPr>
              <w:t>12月25日</w:t>
            </w:r>
            <w:r w:rsidRPr="0022619D">
              <w:rPr>
                <w:rFonts w:asciiTheme="minorEastAsia" w:eastAsiaTheme="minorEastAsia" w:hAnsiTheme="minorEastAsia" w:cs="Times New Roman"/>
              </w:rPr>
              <w:t>获得</w:t>
            </w:r>
            <w:r w:rsidR="003D7211" w:rsidRPr="0022619D">
              <w:rPr>
                <w:rFonts w:asciiTheme="minorEastAsia" w:eastAsiaTheme="minorEastAsia" w:hAnsiTheme="minorEastAsia" w:cs="Times New Roman" w:hint="eastAsia"/>
              </w:rPr>
              <w:t>证监会《关于</w:t>
            </w:r>
            <w:r w:rsidR="003D7211" w:rsidRPr="0022619D">
              <w:rPr>
                <w:rFonts w:asciiTheme="minorEastAsia" w:eastAsiaTheme="minorEastAsia" w:hAnsiTheme="minorEastAsia" w:cs="Times New Roman"/>
              </w:rPr>
              <w:t>核准中粮地产（</w:t>
            </w:r>
            <w:r w:rsidR="003D7211" w:rsidRPr="0022619D">
              <w:rPr>
                <w:rFonts w:asciiTheme="minorEastAsia" w:eastAsiaTheme="minorEastAsia" w:hAnsiTheme="minorEastAsia" w:cs="Times New Roman" w:hint="eastAsia"/>
              </w:rPr>
              <w:t>集团</w:t>
            </w:r>
            <w:r w:rsidR="003D7211" w:rsidRPr="0022619D">
              <w:rPr>
                <w:rFonts w:asciiTheme="minorEastAsia" w:eastAsiaTheme="minorEastAsia" w:hAnsiTheme="minorEastAsia" w:cs="Times New Roman"/>
              </w:rPr>
              <w:t>）</w:t>
            </w:r>
            <w:r w:rsidR="003D7211" w:rsidRPr="0022619D">
              <w:rPr>
                <w:rFonts w:asciiTheme="minorEastAsia" w:eastAsiaTheme="minorEastAsia" w:hAnsiTheme="minorEastAsia" w:cs="Times New Roman" w:hint="eastAsia"/>
              </w:rPr>
              <w:t>股份</w:t>
            </w:r>
            <w:r w:rsidR="003D7211" w:rsidRPr="0022619D">
              <w:rPr>
                <w:rFonts w:asciiTheme="minorEastAsia" w:eastAsiaTheme="minorEastAsia" w:hAnsiTheme="minorEastAsia" w:cs="Times New Roman"/>
              </w:rPr>
              <w:t>有限公司向</w:t>
            </w:r>
            <w:r w:rsidR="003D7211" w:rsidRPr="0022619D">
              <w:rPr>
                <w:rFonts w:asciiTheme="minorEastAsia" w:eastAsiaTheme="minorEastAsia" w:hAnsiTheme="minorEastAsia" w:cs="Times New Roman" w:hint="eastAsia"/>
              </w:rPr>
              <w:t>V</w:t>
            </w:r>
            <w:r w:rsidR="003D7211" w:rsidRPr="0022619D">
              <w:rPr>
                <w:rFonts w:asciiTheme="minorEastAsia" w:eastAsiaTheme="minorEastAsia" w:hAnsiTheme="minorEastAsia" w:cs="Times New Roman"/>
              </w:rPr>
              <w:t>ibrant Oak Limited（</w:t>
            </w:r>
            <w:r w:rsidR="003D7211" w:rsidRPr="0022619D">
              <w:rPr>
                <w:rFonts w:asciiTheme="minorEastAsia" w:eastAsiaTheme="minorEastAsia" w:hAnsiTheme="minorEastAsia" w:cs="Times New Roman" w:hint="eastAsia"/>
              </w:rPr>
              <w:t>明毅有限</w:t>
            </w:r>
            <w:r w:rsidR="003D7211" w:rsidRPr="0022619D">
              <w:rPr>
                <w:rFonts w:asciiTheme="minorEastAsia" w:eastAsiaTheme="minorEastAsia" w:hAnsiTheme="minorEastAsia" w:cs="Times New Roman"/>
              </w:rPr>
              <w:t>公司）</w:t>
            </w:r>
            <w:r w:rsidR="003D7211" w:rsidRPr="0022619D">
              <w:rPr>
                <w:rFonts w:asciiTheme="minorEastAsia" w:eastAsiaTheme="minorEastAsia" w:hAnsiTheme="minorEastAsia" w:cs="Times New Roman" w:hint="eastAsia"/>
              </w:rPr>
              <w:t>发行股份</w:t>
            </w:r>
            <w:r w:rsidR="003D7211" w:rsidRPr="0022619D">
              <w:rPr>
                <w:rFonts w:asciiTheme="minorEastAsia" w:eastAsiaTheme="minorEastAsia" w:hAnsiTheme="minorEastAsia" w:cs="Times New Roman"/>
              </w:rPr>
              <w:t>购买资产并募集</w:t>
            </w:r>
            <w:r w:rsidR="003D7211" w:rsidRPr="0022619D">
              <w:rPr>
                <w:rFonts w:asciiTheme="minorEastAsia" w:eastAsiaTheme="minorEastAsia" w:hAnsiTheme="minorEastAsia" w:cs="Times New Roman" w:hint="eastAsia"/>
              </w:rPr>
              <w:t>配套资金</w:t>
            </w:r>
            <w:r w:rsidR="003D7211" w:rsidRPr="0022619D">
              <w:rPr>
                <w:rFonts w:asciiTheme="minorEastAsia" w:eastAsiaTheme="minorEastAsia" w:hAnsiTheme="minorEastAsia" w:cs="Times New Roman"/>
              </w:rPr>
              <w:t>的批复</w:t>
            </w:r>
            <w:r w:rsidR="003D7211" w:rsidRPr="0022619D">
              <w:rPr>
                <w:rFonts w:asciiTheme="minorEastAsia" w:eastAsiaTheme="minorEastAsia" w:hAnsiTheme="minorEastAsia" w:cs="Times New Roman" w:hint="eastAsia"/>
              </w:rPr>
              <w:t>》，</w:t>
            </w:r>
            <w:r w:rsidR="002366A2" w:rsidRPr="0022619D">
              <w:rPr>
                <w:rFonts w:asciiTheme="minorEastAsia" w:eastAsiaTheme="minorEastAsia" w:hAnsiTheme="minorEastAsia" w:cs="Times New Roman" w:hint="eastAsia"/>
              </w:rPr>
              <w:t>证监会</w:t>
            </w:r>
            <w:r w:rsidR="003D7211" w:rsidRPr="0022619D">
              <w:rPr>
                <w:rFonts w:asciiTheme="minorEastAsia" w:eastAsiaTheme="minorEastAsia" w:hAnsiTheme="minorEastAsia" w:cs="Times New Roman"/>
              </w:rPr>
              <w:t>核准公司向</w:t>
            </w:r>
            <w:r w:rsidR="003D7211" w:rsidRPr="0022619D">
              <w:rPr>
                <w:rFonts w:asciiTheme="minorEastAsia" w:eastAsiaTheme="minorEastAsia" w:hAnsiTheme="minorEastAsia" w:cs="Times New Roman" w:hint="eastAsia"/>
              </w:rPr>
              <w:t>V</w:t>
            </w:r>
            <w:r w:rsidR="003D7211" w:rsidRPr="0022619D">
              <w:rPr>
                <w:rFonts w:asciiTheme="minorEastAsia" w:eastAsiaTheme="minorEastAsia" w:hAnsiTheme="minorEastAsia" w:cs="Times New Roman"/>
              </w:rPr>
              <w:t>ibrant Oak Limited（</w:t>
            </w:r>
            <w:r w:rsidR="003D7211" w:rsidRPr="0022619D">
              <w:rPr>
                <w:rFonts w:asciiTheme="minorEastAsia" w:eastAsiaTheme="minorEastAsia" w:hAnsiTheme="minorEastAsia" w:cs="Times New Roman" w:hint="eastAsia"/>
              </w:rPr>
              <w:t>明毅有限</w:t>
            </w:r>
            <w:r w:rsidR="003D7211" w:rsidRPr="0022619D">
              <w:rPr>
                <w:rFonts w:asciiTheme="minorEastAsia" w:eastAsiaTheme="minorEastAsia" w:hAnsiTheme="minorEastAsia" w:cs="Times New Roman"/>
              </w:rPr>
              <w:t>公司）</w:t>
            </w:r>
            <w:r w:rsidR="003D7211" w:rsidRPr="0022619D">
              <w:rPr>
                <w:rFonts w:asciiTheme="minorEastAsia" w:eastAsiaTheme="minorEastAsia" w:hAnsiTheme="minorEastAsia" w:cs="Times New Roman" w:hint="eastAsia"/>
              </w:rPr>
              <w:t>发行2,112,138,742股</w:t>
            </w:r>
            <w:r w:rsidR="003D7211" w:rsidRPr="0022619D">
              <w:rPr>
                <w:rFonts w:asciiTheme="minorEastAsia" w:eastAsiaTheme="minorEastAsia" w:hAnsiTheme="minorEastAsia" w:cs="Times New Roman"/>
              </w:rPr>
              <w:t>股份购买相关资产，核准公司非公开发行</w:t>
            </w:r>
            <w:r w:rsidR="003D7211" w:rsidRPr="0022619D">
              <w:rPr>
                <w:rFonts w:asciiTheme="minorEastAsia" w:eastAsiaTheme="minorEastAsia" w:hAnsiTheme="minorEastAsia" w:cs="Times New Roman" w:hint="eastAsia"/>
              </w:rPr>
              <w:t>募集</w:t>
            </w:r>
            <w:r w:rsidR="003D7211" w:rsidRPr="0022619D">
              <w:rPr>
                <w:rFonts w:asciiTheme="minorEastAsia" w:eastAsiaTheme="minorEastAsia" w:hAnsiTheme="minorEastAsia" w:cs="Times New Roman"/>
              </w:rPr>
              <w:t>配套资金不超过</w:t>
            </w:r>
            <w:r w:rsidR="003D7211" w:rsidRPr="0022619D">
              <w:rPr>
                <w:rFonts w:asciiTheme="minorEastAsia" w:eastAsiaTheme="minorEastAsia" w:hAnsiTheme="minorEastAsia" w:cs="Times New Roman" w:hint="eastAsia"/>
              </w:rPr>
              <w:t>2,425,781,400元</w:t>
            </w:r>
            <w:r w:rsidR="003D7211" w:rsidRPr="0022619D">
              <w:rPr>
                <w:rFonts w:asciiTheme="minorEastAsia" w:eastAsiaTheme="minorEastAsia" w:hAnsiTheme="minorEastAsia" w:cs="Times New Roman"/>
              </w:rPr>
              <w:t>。</w:t>
            </w:r>
          </w:p>
          <w:p w:rsidR="002366A2" w:rsidRDefault="002366A2" w:rsidP="002366A2">
            <w:pPr>
              <w:pStyle w:val="Default"/>
              <w:spacing w:line="360" w:lineRule="auto"/>
              <w:ind w:firstLineChars="200" w:firstLine="480"/>
              <w:jc w:val="both"/>
              <w:rPr>
                <w:rFonts w:asciiTheme="minorEastAsia" w:eastAsiaTheme="minorEastAsia" w:hAnsiTheme="minorEastAsia" w:cs="Times New Roman"/>
              </w:rPr>
            </w:pPr>
            <w:r w:rsidRPr="0022619D">
              <w:rPr>
                <w:rFonts w:asciiTheme="minorEastAsia" w:eastAsiaTheme="minorEastAsia" w:hAnsiTheme="minorEastAsia" w:cs="Times New Roman" w:hint="eastAsia"/>
              </w:rPr>
              <w:t>目前</w:t>
            </w:r>
            <w:r w:rsidRPr="0022619D">
              <w:rPr>
                <w:rFonts w:asciiTheme="minorEastAsia" w:eastAsiaTheme="minorEastAsia" w:hAnsiTheme="minorEastAsia" w:cs="Times New Roman"/>
              </w:rPr>
              <w:t>，公司正在积极办理交割</w:t>
            </w:r>
            <w:r w:rsidR="00563AF2" w:rsidRPr="0022619D">
              <w:rPr>
                <w:rFonts w:asciiTheme="minorEastAsia" w:eastAsiaTheme="minorEastAsia" w:hAnsiTheme="minorEastAsia" w:cs="Times New Roman" w:hint="eastAsia"/>
              </w:rPr>
              <w:t>相关</w:t>
            </w:r>
            <w:r w:rsidRPr="0022619D">
              <w:rPr>
                <w:rFonts w:asciiTheme="minorEastAsia" w:eastAsiaTheme="minorEastAsia" w:hAnsiTheme="minorEastAsia" w:cs="Times New Roman" w:hint="eastAsia"/>
              </w:rPr>
              <w:t>事宜。</w:t>
            </w:r>
          </w:p>
          <w:p w:rsidR="0022619D" w:rsidRPr="0022619D" w:rsidRDefault="0022619D" w:rsidP="002366A2">
            <w:pPr>
              <w:pStyle w:val="Default"/>
              <w:spacing w:line="360" w:lineRule="auto"/>
              <w:ind w:firstLineChars="200" w:firstLine="480"/>
              <w:jc w:val="both"/>
              <w:rPr>
                <w:rFonts w:ascii="Times New Roman" w:cs="Times New Roman" w:hint="eastAsia"/>
              </w:rPr>
            </w:pPr>
          </w:p>
          <w:p w:rsidR="00B952A1" w:rsidRPr="0022619D" w:rsidRDefault="00B952A1" w:rsidP="00B952A1">
            <w:pPr>
              <w:pStyle w:val="Default"/>
              <w:spacing w:line="360" w:lineRule="auto"/>
              <w:ind w:firstLineChars="200" w:firstLine="482"/>
              <w:jc w:val="both"/>
              <w:rPr>
                <w:b/>
              </w:rPr>
            </w:pPr>
            <w:r w:rsidRPr="0022619D">
              <w:rPr>
                <w:rFonts w:hint="eastAsia"/>
                <w:b/>
              </w:rPr>
              <w:t>2</w:t>
            </w:r>
            <w:r w:rsidR="000637CF" w:rsidRPr="0022619D">
              <w:rPr>
                <w:rFonts w:hint="eastAsia"/>
                <w:b/>
              </w:rPr>
              <w:t>、关于</w:t>
            </w:r>
            <w:r w:rsidR="000637CF" w:rsidRPr="0022619D">
              <w:rPr>
                <w:b/>
              </w:rPr>
              <w:t>重组配套募集资金的用途及发行计划</w:t>
            </w:r>
          </w:p>
          <w:p w:rsidR="002366A2" w:rsidRDefault="002366A2" w:rsidP="00360629">
            <w:pPr>
              <w:pStyle w:val="Default"/>
              <w:spacing w:line="360" w:lineRule="auto"/>
              <w:ind w:firstLine="465"/>
              <w:rPr>
                <w:rFonts w:asciiTheme="minorEastAsia" w:hAnsiTheme="minorEastAsia"/>
              </w:rPr>
            </w:pPr>
            <w:r w:rsidRPr="0022619D">
              <w:rPr>
                <w:rFonts w:asciiTheme="minorEastAsia" w:eastAsiaTheme="minorEastAsia" w:hAnsiTheme="minorEastAsia" w:cs="Times New Roman"/>
              </w:rPr>
              <w:lastRenderedPageBreak/>
              <w:t>根据公司已公告的</w:t>
            </w:r>
            <w:r w:rsidRPr="0022619D">
              <w:rPr>
                <w:rFonts w:asciiTheme="minorEastAsia" w:eastAsiaTheme="minorEastAsia" w:hAnsiTheme="minorEastAsia" w:cs="Times New Roman" w:hint="eastAsia"/>
              </w:rPr>
              <w:t>《中粮地产</w:t>
            </w:r>
            <w:r w:rsidRPr="0022619D">
              <w:rPr>
                <w:rFonts w:asciiTheme="minorEastAsia" w:eastAsiaTheme="minorEastAsia" w:hAnsiTheme="minorEastAsia" w:cs="Times New Roman"/>
              </w:rPr>
              <w:t>（</w:t>
            </w:r>
            <w:r w:rsidRPr="0022619D">
              <w:rPr>
                <w:rFonts w:asciiTheme="minorEastAsia" w:eastAsiaTheme="minorEastAsia" w:hAnsiTheme="minorEastAsia" w:cs="Times New Roman" w:hint="eastAsia"/>
              </w:rPr>
              <w:t>集团</w:t>
            </w:r>
            <w:r w:rsidRPr="0022619D">
              <w:rPr>
                <w:rFonts w:asciiTheme="minorEastAsia" w:eastAsiaTheme="minorEastAsia" w:hAnsiTheme="minorEastAsia" w:cs="Times New Roman"/>
              </w:rPr>
              <w:t>）</w:t>
            </w:r>
            <w:r w:rsidRPr="0022619D">
              <w:rPr>
                <w:rFonts w:asciiTheme="minorEastAsia" w:eastAsiaTheme="minorEastAsia" w:hAnsiTheme="minorEastAsia" w:cs="Times New Roman" w:hint="eastAsia"/>
              </w:rPr>
              <w:t>股份</w:t>
            </w:r>
            <w:r w:rsidRPr="0022619D">
              <w:rPr>
                <w:rFonts w:asciiTheme="minorEastAsia" w:eastAsiaTheme="minorEastAsia" w:hAnsiTheme="minorEastAsia" w:cs="Times New Roman"/>
              </w:rPr>
              <w:t>有限公司发行股份购买资产并募集配套资金暨关联交易报告书</w:t>
            </w:r>
            <w:r w:rsidRPr="0022619D">
              <w:rPr>
                <w:rFonts w:asciiTheme="minorEastAsia" w:eastAsiaTheme="minorEastAsia" w:hAnsiTheme="minorEastAsia" w:cs="Times New Roman" w:hint="eastAsia"/>
              </w:rPr>
              <w:t>（修订稿）》，公司拟</w:t>
            </w:r>
            <w:r w:rsidRPr="0022619D">
              <w:rPr>
                <w:rFonts w:asciiTheme="minorEastAsia" w:eastAsiaTheme="minorEastAsia" w:hAnsiTheme="minorEastAsia" w:cs="Times New Roman"/>
              </w:rPr>
              <w:t>通过询价方式向不超过</w:t>
            </w:r>
            <w:r w:rsidRPr="0022619D">
              <w:rPr>
                <w:rFonts w:asciiTheme="minorEastAsia" w:eastAsiaTheme="minorEastAsia" w:hAnsiTheme="minorEastAsia" w:cs="Times New Roman" w:hint="eastAsia"/>
              </w:rPr>
              <w:t>10名</w:t>
            </w:r>
            <w:r w:rsidRPr="0022619D">
              <w:rPr>
                <w:rFonts w:asciiTheme="minorEastAsia" w:eastAsiaTheme="minorEastAsia" w:hAnsiTheme="minorEastAsia" w:cs="Times New Roman"/>
              </w:rPr>
              <w:t>特定投资者发行股份</w:t>
            </w:r>
            <w:r w:rsidRPr="0022619D">
              <w:rPr>
                <w:rFonts w:asciiTheme="minorEastAsia" w:eastAsiaTheme="minorEastAsia" w:hAnsiTheme="minorEastAsia" w:cs="Times New Roman" w:hint="eastAsia"/>
              </w:rPr>
              <w:t>募集</w:t>
            </w:r>
            <w:r w:rsidRPr="0022619D">
              <w:rPr>
                <w:rFonts w:asciiTheme="minorEastAsia" w:eastAsiaTheme="minorEastAsia" w:hAnsiTheme="minorEastAsia" w:cs="Times New Roman"/>
              </w:rPr>
              <w:t>配套资金</w:t>
            </w:r>
            <w:r w:rsidRPr="0022619D">
              <w:rPr>
                <w:rFonts w:asciiTheme="minorEastAsia" w:eastAsiaTheme="minorEastAsia" w:hAnsiTheme="minorEastAsia" w:cs="Times New Roman" w:hint="eastAsia"/>
              </w:rPr>
              <w:t>，</w:t>
            </w:r>
            <w:r w:rsidRPr="0022619D">
              <w:rPr>
                <w:rFonts w:asciiTheme="minorEastAsia" w:eastAsiaTheme="minorEastAsia" w:hAnsiTheme="minorEastAsia" w:cs="Times New Roman"/>
              </w:rPr>
              <w:t>募集配套资金总金额不超过</w:t>
            </w:r>
            <w:r w:rsidRPr="0022619D">
              <w:rPr>
                <w:rFonts w:asciiTheme="minorEastAsia" w:eastAsiaTheme="minorEastAsia" w:hAnsiTheme="minorEastAsia" w:cs="Times New Roman" w:hint="eastAsia"/>
              </w:rPr>
              <w:t>242,578.14万元</w:t>
            </w:r>
            <w:r w:rsidRPr="0022619D">
              <w:rPr>
                <w:rFonts w:asciiTheme="minorEastAsia" w:eastAsiaTheme="minorEastAsia" w:hAnsiTheme="minorEastAsia" w:cs="Times New Roman"/>
              </w:rPr>
              <w:t>，</w:t>
            </w:r>
            <w:r w:rsidR="00E43E0C" w:rsidRPr="0022619D">
              <w:rPr>
                <w:rFonts w:asciiTheme="minorEastAsia" w:eastAsiaTheme="minorEastAsia" w:hAnsiTheme="minorEastAsia" w:cs="Times New Roman" w:hint="eastAsia"/>
              </w:rPr>
              <w:t>发行股份</w:t>
            </w:r>
            <w:r w:rsidR="00E43E0C" w:rsidRPr="0022619D">
              <w:rPr>
                <w:rFonts w:asciiTheme="minorEastAsia" w:eastAsiaTheme="minorEastAsia" w:hAnsiTheme="minorEastAsia" w:cs="Times New Roman"/>
              </w:rPr>
              <w:t>数不超过</w:t>
            </w:r>
            <w:r w:rsidR="00E43E0C" w:rsidRPr="0022619D">
              <w:rPr>
                <w:rFonts w:asciiTheme="minorEastAsia" w:eastAsiaTheme="minorEastAsia" w:hAnsiTheme="minorEastAsia" w:cs="Times New Roman" w:hint="eastAsia"/>
              </w:rPr>
              <w:t>362,746,319股。</w:t>
            </w:r>
            <w:r w:rsidR="00360629" w:rsidRPr="0022619D">
              <w:t>本次交易配套募集资金总额在扣除相关费用后，拟用于标的公司中粮</w:t>
            </w:r>
            <w:r w:rsidR="00360629" w:rsidRPr="0022619D">
              <w:rPr>
                <w:b/>
                <w:sz w:val="20"/>
                <w:szCs w:val="20"/>
                <w:shd w:val="clear" w:color="auto" w:fill="FFFFFF"/>
              </w:rPr>
              <w:t>·</w:t>
            </w:r>
            <w:r w:rsidR="00360629" w:rsidRPr="0022619D">
              <w:t>置地广场项目、杭州大悦城-购物中心项目的建设</w:t>
            </w:r>
            <w:r w:rsidR="00360629" w:rsidRPr="0022619D">
              <w:rPr>
                <w:rFonts w:hint="eastAsia"/>
              </w:rPr>
              <w:t>。</w:t>
            </w:r>
            <w:r w:rsidR="00E43E0C" w:rsidRPr="0022619D">
              <w:rPr>
                <w:rFonts w:asciiTheme="minorEastAsia" w:hAnsiTheme="minorEastAsia" w:hint="eastAsia"/>
              </w:rPr>
              <w:t>证监会已</w:t>
            </w:r>
            <w:r w:rsidR="00E43E0C" w:rsidRPr="0022619D">
              <w:rPr>
                <w:rFonts w:asciiTheme="minorEastAsia" w:hAnsiTheme="minorEastAsia"/>
              </w:rPr>
              <w:t>核准</w:t>
            </w:r>
            <w:r w:rsidR="00E43E0C" w:rsidRPr="0022619D">
              <w:rPr>
                <w:rFonts w:asciiTheme="minorEastAsia" w:hAnsiTheme="minorEastAsia" w:hint="eastAsia"/>
              </w:rPr>
              <w:t>公司本次募集</w:t>
            </w:r>
            <w:r w:rsidR="00E43E0C" w:rsidRPr="0022619D">
              <w:rPr>
                <w:rFonts w:asciiTheme="minorEastAsia" w:hAnsiTheme="minorEastAsia"/>
              </w:rPr>
              <w:t>配套资金事项，公司</w:t>
            </w:r>
            <w:r w:rsidR="00E43E0C" w:rsidRPr="0022619D">
              <w:rPr>
                <w:rFonts w:asciiTheme="minorEastAsia" w:hAnsiTheme="minorEastAsia" w:hint="eastAsia"/>
              </w:rPr>
              <w:t>将</w:t>
            </w:r>
            <w:r w:rsidR="00E43E0C" w:rsidRPr="0022619D">
              <w:rPr>
                <w:rFonts w:asciiTheme="minorEastAsia" w:hAnsiTheme="minorEastAsia"/>
              </w:rPr>
              <w:t>根据市场情况择机完成发行。</w:t>
            </w:r>
          </w:p>
          <w:p w:rsidR="0022619D" w:rsidRPr="0022619D" w:rsidRDefault="0022619D" w:rsidP="00360629">
            <w:pPr>
              <w:pStyle w:val="Default"/>
              <w:spacing w:line="360" w:lineRule="auto"/>
              <w:ind w:firstLine="465"/>
              <w:rPr>
                <w:rFonts w:asciiTheme="minorEastAsia" w:eastAsiaTheme="minorEastAsia" w:hAnsiTheme="minorEastAsia" w:cs="Times New Roman" w:hint="eastAsia"/>
              </w:rPr>
            </w:pPr>
          </w:p>
          <w:p w:rsidR="00B952A1" w:rsidRPr="0022619D" w:rsidRDefault="00B952A1" w:rsidP="00B952A1">
            <w:pPr>
              <w:pStyle w:val="Default"/>
              <w:spacing w:line="360" w:lineRule="auto"/>
              <w:ind w:firstLine="465"/>
              <w:jc w:val="both"/>
              <w:rPr>
                <w:b/>
              </w:rPr>
            </w:pPr>
            <w:r w:rsidRPr="0022619D">
              <w:rPr>
                <w:rFonts w:hint="eastAsia"/>
                <w:b/>
              </w:rPr>
              <w:t>3、</w:t>
            </w:r>
            <w:r w:rsidR="000637CF" w:rsidRPr="0022619D">
              <w:rPr>
                <w:rFonts w:hint="eastAsia"/>
                <w:b/>
              </w:rPr>
              <w:t>关于重组后</w:t>
            </w:r>
            <w:r w:rsidR="000637CF" w:rsidRPr="0022619D">
              <w:rPr>
                <w:b/>
              </w:rPr>
              <w:t>的战略</w:t>
            </w:r>
            <w:r w:rsidR="00764DC6" w:rsidRPr="0022619D">
              <w:rPr>
                <w:rFonts w:hint="eastAsia"/>
                <w:b/>
              </w:rPr>
              <w:t>及</w:t>
            </w:r>
            <w:r w:rsidR="0050639F" w:rsidRPr="0022619D">
              <w:rPr>
                <w:rFonts w:hint="eastAsia"/>
                <w:b/>
              </w:rPr>
              <w:t>协同效应</w:t>
            </w:r>
            <w:r w:rsidR="0050639F" w:rsidRPr="0022619D">
              <w:rPr>
                <w:b/>
              </w:rPr>
              <w:t>体现</w:t>
            </w:r>
          </w:p>
          <w:p w:rsidR="00563AF2" w:rsidRPr="0022619D" w:rsidRDefault="00563AF2" w:rsidP="00563AF2">
            <w:pPr>
              <w:pStyle w:val="Default"/>
              <w:spacing w:line="360" w:lineRule="auto"/>
              <w:ind w:firstLineChars="200" w:firstLine="480"/>
              <w:jc w:val="both"/>
              <w:rPr>
                <w:rFonts w:hAnsi="宋体"/>
              </w:rPr>
            </w:pPr>
            <w:r w:rsidRPr="0022619D">
              <w:rPr>
                <w:rFonts w:hAnsi="宋体"/>
              </w:rPr>
              <w:t>本次交易完成后，中粮地产将成为大悦城地产的控股股东，大悦城地产将成为中粮地产合并报表范围内的控股子公司。</w:t>
            </w:r>
          </w:p>
          <w:p w:rsidR="00563AF2" w:rsidRPr="0022619D" w:rsidRDefault="00563AF2" w:rsidP="00563AF2">
            <w:pPr>
              <w:pStyle w:val="Default"/>
              <w:spacing w:line="360" w:lineRule="auto"/>
              <w:ind w:firstLineChars="200" w:firstLine="480"/>
              <w:jc w:val="both"/>
              <w:rPr>
                <w:rFonts w:ascii="Times New Roman" w:cs="Times New Roman"/>
              </w:rPr>
            </w:pPr>
            <w:r w:rsidRPr="0022619D">
              <w:t>在战略规划和定位上，交易完成后</w:t>
            </w:r>
            <w:r w:rsidRPr="0022619D">
              <w:rPr>
                <w:rFonts w:hint="eastAsia"/>
              </w:rPr>
              <w:t>中粮地产</w:t>
            </w:r>
            <w:r w:rsidRPr="0022619D">
              <w:t>将成为中粮集团旗下融合住宅地产与商业地产一体化的全业态房地产专业化公司，大悦城地产以商业地产为核心，发展城市综合体平台。交易完成后</w:t>
            </w:r>
            <w:r w:rsidRPr="0022619D">
              <w:rPr>
                <w:rFonts w:hint="eastAsia"/>
              </w:rPr>
              <w:t>中粮地产</w:t>
            </w:r>
            <w:r w:rsidRPr="0022619D">
              <w:t>和大悦城地产</w:t>
            </w:r>
            <w:r w:rsidRPr="0022619D">
              <w:rPr>
                <w:rFonts w:ascii="Times New Roman" w:cs="Times New Roman" w:hint="eastAsia"/>
              </w:rPr>
              <w:t>将形成住宅、商业板块的优势互补，充分发挥资源整合的协同效应，在渠道、市场、人才、品牌等方面深度融合，搭建统一的融资平台，增强融资能力，提升运营效率。</w:t>
            </w:r>
          </w:p>
          <w:p w:rsidR="00F53D22" w:rsidRDefault="00F53D22" w:rsidP="00563AF2">
            <w:pPr>
              <w:pStyle w:val="Default"/>
              <w:spacing w:line="360" w:lineRule="auto"/>
              <w:ind w:firstLineChars="200" w:firstLine="460"/>
              <w:jc w:val="both"/>
              <w:rPr>
                <w:sz w:val="23"/>
                <w:szCs w:val="23"/>
              </w:rPr>
            </w:pPr>
            <w:r w:rsidRPr="0022619D">
              <w:rPr>
                <w:rFonts w:hint="eastAsia"/>
                <w:sz w:val="23"/>
                <w:szCs w:val="23"/>
              </w:rPr>
              <w:t>本次交易完成后，中粮地产将注入较大规模的优质商业资产，新增大量商业地产业务。针对本次重组后中粮地产资产结构和业务结构的变化，中粮地产将根据业务融合及发展需要适时优化管理团队，以适应公司住宅地产业务与商业地产业务的深度融合，实现整合的互补及协同效应。</w:t>
            </w:r>
          </w:p>
          <w:p w:rsidR="0022619D" w:rsidRPr="0022619D" w:rsidRDefault="0022619D" w:rsidP="00563AF2">
            <w:pPr>
              <w:pStyle w:val="Default"/>
              <w:spacing w:line="360" w:lineRule="auto"/>
              <w:ind w:firstLineChars="200" w:firstLine="480"/>
              <w:jc w:val="both"/>
              <w:rPr>
                <w:rFonts w:hint="eastAsia"/>
              </w:rPr>
            </w:pPr>
          </w:p>
          <w:p w:rsidR="00626409" w:rsidRPr="0022619D" w:rsidRDefault="00626409" w:rsidP="00626409">
            <w:pPr>
              <w:pStyle w:val="Default"/>
              <w:spacing w:line="360" w:lineRule="auto"/>
              <w:ind w:firstLine="465"/>
              <w:jc w:val="both"/>
              <w:rPr>
                <w:b/>
              </w:rPr>
            </w:pPr>
            <w:r w:rsidRPr="0022619D">
              <w:rPr>
                <w:rFonts w:hint="eastAsia"/>
                <w:b/>
              </w:rPr>
              <w:t>4、</w:t>
            </w:r>
            <w:r w:rsidR="000637CF" w:rsidRPr="0022619D">
              <w:rPr>
                <w:rFonts w:hint="eastAsia"/>
                <w:b/>
              </w:rPr>
              <w:t>关于大悦城的</w:t>
            </w:r>
            <w:r w:rsidR="000637CF" w:rsidRPr="0022619D">
              <w:rPr>
                <w:b/>
              </w:rPr>
              <w:t>基本情况</w:t>
            </w:r>
          </w:p>
          <w:p w:rsidR="00360629" w:rsidRPr="0022619D" w:rsidRDefault="00360629" w:rsidP="0022619D">
            <w:pPr>
              <w:pStyle w:val="005"/>
              <w:spacing w:before="180" w:after="180"/>
              <w:ind w:firstLine="480"/>
              <w:rPr>
                <w:rFonts w:hint="eastAsia"/>
                <w:kern w:val="0"/>
              </w:rPr>
            </w:pPr>
            <w:r w:rsidRPr="0022619D">
              <w:rPr>
                <w:kern w:val="0"/>
              </w:rPr>
              <w:t>大悦城地产作为中粮集团商业综合体及商业地产运营的海外上市平台，依托全国性商业地产品牌</w:t>
            </w:r>
            <w:r w:rsidRPr="0022619D">
              <w:rPr>
                <w:kern w:val="0"/>
              </w:rPr>
              <w:t>“</w:t>
            </w:r>
            <w:r w:rsidRPr="0022619D">
              <w:rPr>
                <w:kern w:val="0"/>
              </w:rPr>
              <w:t>大悦城</w:t>
            </w:r>
            <w:r w:rsidRPr="0022619D">
              <w:rPr>
                <w:kern w:val="0"/>
              </w:rPr>
              <w:t>”</w:t>
            </w:r>
            <w:r w:rsidRPr="0022619D">
              <w:rPr>
                <w:kern w:val="0"/>
              </w:rPr>
              <w:t>，是专注于开发、经营、销售、出租及管理综合体和商业物业的大型地产开发商及运营商。大悦城地产的主要收入来源于投资物业、物业开发、酒店运</w:t>
            </w:r>
            <w:r w:rsidRPr="0022619D">
              <w:rPr>
                <w:kern w:val="0"/>
              </w:rPr>
              <w:lastRenderedPageBreak/>
              <w:t>营、物业管理及其他服务业务板块。上述业务板块之间相互支持、相互提升，组成一个有机业务整体，形成以购物中心为核心、充分发掘业务板块之间联动效应的商业综合体开发与运营管理模式。</w:t>
            </w:r>
          </w:p>
        </w:tc>
      </w:tr>
      <w:tr w:rsidR="00966F7F" w:rsidRPr="0022619D" w:rsidTr="006C0CAF">
        <w:tc>
          <w:tcPr>
            <w:tcW w:w="1986" w:type="dxa"/>
            <w:tcBorders>
              <w:top w:val="single" w:sz="4" w:space="0" w:color="auto"/>
              <w:left w:val="single" w:sz="4" w:space="0" w:color="auto"/>
              <w:bottom w:val="single" w:sz="4" w:space="0" w:color="auto"/>
              <w:right w:val="single" w:sz="4" w:space="0" w:color="auto"/>
            </w:tcBorders>
            <w:vAlign w:val="center"/>
          </w:tcPr>
          <w:p w:rsidR="00B47804" w:rsidRPr="0022619D" w:rsidRDefault="00966F7F" w:rsidP="0007612C">
            <w:pPr>
              <w:spacing w:line="276" w:lineRule="auto"/>
              <w:rPr>
                <w:rFonts w:ascii="宋体" w:hAnsi="宋体"/>
                <w:b/>
                <w:bCs/>
                <w:iCs/>
                <w:color w:val="000000"/>
                <w:sz w:val="24"/>
              </w:rPr>
            </w:pPr>
            <w:r w:rsidRPr="0022619D">
              <w:rPr>
                <w:rFonts w:ascii="宋体" w:hAnsi="宋体" w:hint="eastAsia"/>
                <w:b/>
                <w:bCs/>
                <w:iCs/>
                <w:color w:val="000000"/>
                <w:sz w:val="24"/>
              </w:rPr>
              <w:lastRenderedPageBreak/>
              <w:t>附件清单</w:t>
            </w:r>
          </w:p>
          <w:p w:rsidR="00966F7F" w:rsidRPr="0022619D" w:rsidRDefault="00966F7F" w:rsidP="0007612C">
            <w:pPr>
              <w:spacing w:line="276" w:lineRule="auto"/>
              <w:rPr>
                <w:rFonts w:ascii="宋体" w:hAnsi="宋体"/>
                <w:b/>
                <w:bCs/>
                <w:iCs/>
                <w:color w:val="000000"/>
                <w:sz w:val="24"/>
              </w:rPr>
            </w:pPr>
            <w:r w:rsidRPr="0022619D">
              <w:rPr>
                <w:rFonts w:ascii="宋体" w:hAnsi="宋体" w:hint="eastAsia"/>
                <w:b/>
                <w:bCs/>
                <w:iCs/>
                <w:color w:val="000000"/>
                <w:sz w:val="24"/>
              </w:rPr>
              <w:t>（如有）</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1A08BA">
            <w:pPr>
              <w:spacing w:line="480" w:lineRule="atLeast"/>
              <w:rPr>
                <w:rFonts w:ascii="宋体" w:hAnsi="宋体"/>
                <w:bCs/>
                <w:iCs/>
                <w:color w:val="000000"/>
                <w:sz w:val="24"/>
              </w:rPr>
            </w:pPr>
            <w:r w:rsidRPr="0022619D">
              <w:rPr>
                <w:rFonts w:ascii="宋体" w:hAnsi="宋体" w:hint="eastAsia"/>
                <w:bCs/>
                <w:iCs/>
                <w:color w:val="000000"/>
                <w:sz w:val="24"/>
              </w:rPr>
              <w:t>无</w:t>
            </w:r>
          </w:p>
        </w:tc>
      </w:tr>
      <w:tr w:rsidR="00966F7F" w:rsidRPr="00280AA5" w:rsidTr="006C0CAF">
        <w:trPr>
          <w:trHeight w:val="338"/>
        </w:trPr>
        <w:tc>
          <w:tcPr>
            <w:tcW w:w="1986" w:type="dxa"/>
            <w:tcBorders>
              <w:top w:val="single" w:sz="4" w:space="0" w:color="auto"/>
              <w:left w:val="single" w:sz="4" w:space="0" w:color="auto"/>
              <w:bottom w:val="single" w:sz="4" w:space="0" w:color="auto"/>
              <w:right w:val="single" w:sz="4" w:space="0" w:color="auto"/>
            </w:tcBorders>
            <w:vAlign w:val="center"/>
          </w:tcPr>
          <w:p w:rsidR="00966F7F" w:rsidRPr="0022619D" w:rsidRDefault="00966F7F" w:rsidP="00C3666D">
            <w:pPr>
              <w:spacing w:line="480" w:lineRule="atLeast"/>
              <w:rPr>
                <w:rFonts w:ascii="宋体" w:hAnsi="宋体"/>
                <w:b/>
                <w:bCs/>
                <w:iCs/>
                <w:color w:val="000000"/>
                <w:sz w:val="24"/>
              </w:rPr>
            </w:pPr>
            <w:r w:rsidRPr="0022619D">
              <w:rPr>
                <w:rFonts w:ascii="宋体" w:hAnsi="宋体" w:hint="eastAsia"/>
                <w:b/>
                <w:bCs/>
                <w:iCs/>
                <w:color w:val="000000"/>
                <w:sz w:val="24"/>
              </w:rPr>
              <w:t>日期</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4C2E23" w:rsidRDefault="00966F7F" w:rsidP="000959A8">
            <w:pPr>
              <w:spacing w:line="480" w:lineRule="atLeast"/>
              <w:rPr>
                <w:rFonts w:ascii="宋体" w:hAnsi="宋体"/>
                <w:bCs/>
                <w:iCs/>
                <w:color w:val="000000"/>
                <w:sz w:val="24"/>
              </w:rPr>
            </w:pPr>
            <w:r w:rsidRPr="0022619D">
              <w:rPr>
                <w:rFonts w:ascii="宋体" w:hAnsi="宋体" w:hint="eastAsia"/>
                <w:bCs/>
                <w:iCs/>
                <w:color w:val="000000"/>
                <w:sz w:val="24"/>
              </w:rPr>
              <w:t>201</w:t>
            </w:r>
            <w:r w:rsidR="000637CF" w:rsidRPr="0022619D">
              <w:rPr>
                <w:rFonts w:ascii="宋体" w:hAnsi="宋体" w:hint="eastAsia"/>
                <w:bCs/>
                <w:iCs/>
                <w:color w:val="000000"/>
                <w:sz w:val="24"/>
              </w:rPr>
              <w:t>9</w:t>
            </w:r>
            <w:r w:rsidR="009C0011" w:rsidRPr="0022619D">
              <w:rPr>
                <w:rFonts w:ascii="宋体" w:hAnsi="宋体" w:hint="eastAsia"/>
                <w:bCs/>
                <w:iCs/>
                <w:color w:val="000000"/>
                <w:sz w:val="24"/>
              </w:rPr>
              <w:t>年</w:t>
            </w:r>
            <w:r w:rsidR="000637CF" w:rsidRPr="0022619D">
              <w:rPr>
                <w:rFonts w:ascii="宋体" w:hAnsi="宋体" w:hint="eastAsia"/>
                <w:bCs/>
                <w:iCs/>
                <w:color w:val="000000"/>
                <w:sz w:val="24"/>
              </w:rPr>
              <w:t>1</w:t>
            </w:r>
            <w:r w:rsidRPr="0022619D">
              <w:rPr>
                <w:rFonts w:ascii="宋体" w:hAnsi="宋体" w:hint="eastAsia"/>
                <w:bCs/>
                <w:iCs/>
                <w:color w:val="000000"/>
                <w:sz w:val="24"/>
              </w:rPr>
              <w:t>月</w:t>
            </w:r>
            <w:r w:rsidR="000637CF" w:rsidRPr="0022619D">
              <w:rPr>
                <w:rFonts w:ascii="宋体" w:hAnsi="宋体" w:hint="eastAsia"/>
                <w:bCs/>
                <w:iCs/>
                <w:color w:val="000000"/>
                <w:sz w:val="24"/>
              </w:rPr>
              <w:t>24</w:t>
            </w:r>
            <w:r w:rsidRPr="0022619D">
              <w:rPr>
                <w:rFonts w:ascii="宋体" w:hAnsi="宋体" w:hint="eastAsia"/>
                <w:bCs/>
                <w:iCs/>
                <w:color w:val="000000"/>
                <w:sz w:val="24"/>
              </w:rPr>
              <w:t>日</w:t>
            </w:r>
          </w:p>
        </w:tc>
      </w:tr>
    </w:tbl>
    <w:p w:rsidR="00737FB4" w:rsidRDefault="00737FB4" w:rsidP="009607DC"/>
    <w:sectPr w:rsidR="00737FB4"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A7" w:rsidRDefault="00E90AA7" w:rsidP="00966F7F">
      <w:r>
        <w:separator/>
      </w:r>
    </w:p>
  </w:endnote>
  <w:endnote w:type="continuationSeparator" w:id="0">
    <w:p w:rsidR="00E90AA7" w:rsidRDefault="00E90AA7" w:rsidP="0096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2150"/>
      <w:docPartObj>
        <w:docPartGallery w:val="Page Numbers (Bottom of Page)"/>
        <w:docPartUnique/>
      </w:docPartObj>
    </w:sdtPr>
    <w:sdtEndPr/>
    <w:sdtContent>
      <w:p w:rsidR="00B43E31" w:rsidRDefault="0087199A" w:rsidP="00B43E31">
        <w:pPr>
          <w:pStyle w:val="a4"/>
          <w:jc w:val="center"/>
        </w:pPr>
        <w:r>
          <w:fldChar w:fldCharType="begin"/>
        </w:r>
        <w:r w:rsidR="00B43E31">
          <w:instrText>PAGE   \* MERGEFORMAT</w:instrText>
        </w:r>
        <w:r>
          <w:fldChar w:fldCharType="separate"/>
        </w:r>
        <w:r w:rsidR="0022619D" w:rsidRPr="0022619D">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A7" w:rsidRDefault="00E90AA7" w:rsidP="00966F7F">
      <w:r>
        <w:separator/>
      </w:r>
    </w:p>
  </w:footnote>
  <w:footnote w:type="continuationSeparator" w:id="0">
    <w:p w:rsidR="00E90AA7" w:rsidRDefault="00E90AA7" w:rsidP="00966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18D"/>
    <w:multiLevelType w:val="hybridMultilevel"/>
    <w:tmpl w:val="B9CE9AE6"/>
    <w:lvl w:ilvl="0" w:tplc="46E2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F8404D"/>
    <w:multiLevelType w:val="hybridMultilevel"/>
    <w:tmpl w:val="1EB43E46"/>
    <w:lvl w:ilvl="0" w:tplc="60CA9FE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39258C"/>
    <w:multiLevelType w:val="hybridMultilevel"/>
    <w:tmpl w:val="0A76C574"/>
    <w:lvl w:ilvl="0" w:tplc="089800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BA4713"/>
    <w:multiLevelType w:val="hybridMultilevel"/>
    <w:tmpl w:val="31D6596A"/>
    <w:lvl w:ilvl="0" w:tplc="67F6C168">
      <w:start w:val="1"/>
      <w:numFmt w:val="decimal"/>
      <w:lvlText w:val="%1、"/>
      <w:lvlJc w:val="left"/>
      <w:pPr>
        <w:ind w:left="1202" w:hanging="720"/>
      </w:pPr>
      <w:rPr>
        <w:rFonts w:asciiTheme="majorEastAsia" w:eastAsiaTheme="majorEastAsia" w:hAnsiTheme="majorEastAsia"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B287ED0"/>
    <w:multiLevelType w:val="hybridMultilevel"/>
    <w:tmpl w:val="899498E6"/>
    <w:lvl w:ilvl="0" w:tplc="89B8C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6403AF"/>
    <w:multiLevelType w:val="hybridMultilevel"/>
    <w:tmpl w:val="914CB8C0"/>
    <w:lvl w:ilvl="0" w:tplc="B27A9EC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F21C8D"/>
    <w:multiLevelType w:val="hybridMultilevel"/>
    <w:tmpl w:val="2BA0ECB8"/>
    <w:lvl w:ilvl="0" w:tplc="1D1E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4C28B6"/>
    <w:multiLevelType w:val="hybridMultilevel"/>
    <w:tmpl w:val="00F06200"/>
    <w:lvl w:ilvl="0" w:tplc="384AC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7E3497"/>
    <w:multiLevelType w:val="hybridMultilevel"/>
    <w:tmpl w:val="064E3D6C"/>
    <w:lvl w:ilvl="0" w:tplc="4C106EB2">
      <w:start w:val="1"/>
      <w:numFmt w:val="decimal"/>
      <w:lvlText w:val="%1、"/>
      <w:lvlJc w:val="left"/>
      <w:pPr>
        <w:ind w:left="1202" w:hanging="720"/>
      </w:pPr>
      <w:rPr>
        <w:rFonts w:asciiTheme="majorEastAsia" w:eastAsiaTheme="majorEastAsia" w:hAnsiTheme="majorEastAsia"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29850649"/>
    <w:multiLevelType w:val="hybridMultilevel"/>
    <w:tmpl w:val="2B2C9B5E"/>
    <w:lvl w:ilvl="0" w:tplc="3020B11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3B7363F4"/>
    <w:multiLevelType w:val="hybridMultilevel"/>
    <w:tmpl w:val="CF9400B2"/>
    <w:lvl w:ilvl="0" w:tplc="F3CEA9FC">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4D156C7"/>
    <w:multiLevelType w:val="hybridMultilevel"/>
    <w:tmpl w:val="3444A34A"/>
    <w:lvl w:ilvl="0" w:tplc="21A04292">
      <w:start w:val="1"/>
      <w:numFmt w:val="decimal"/>
      <w:lvlText w:val="%1、"/>
      <w:lvlJc w:val="left"/>
      <w:pPr>
        <w:ind w:left="532"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764045"/>
    <w:multiLevelType w:val="hybridMultilevel"/>
    <w:tmpl w:val="0A92EBDE"/>
    <w:lvl w:ilvl="0" w:tplc="282ECE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65850CC"/>
    <w:multiLevelType w:val="hybridMultilevel"/>
    <w:tmpl w:val="CF3A6AA0"/>
    <w:lvl w:ilvl="0" w:tplc="FDFA13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E2D4CF5"/>
    <w:multiLevelType w:val="hybridMultilevel"/>
    <w:tmpl w:val="7D628E3A"/>
    <w:lvl w:ilvl="0" w:tplc="CF4AF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1"/>
  </w:num>
  <w:num w:numId="9">
    <w:abstractNumId w:val="1"/>
  </w:num>
  <w:num w:numId="10">
    <w:abstractNumId w:val="5"/>
  </w:num>
  <w:num w:numId="11">
    <w:abstractNumId w:val="2"/>
  </w:num>
  <w:num w:numId="12">
    <w:abstractNumId w:val="13"/>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6F7F"/>
    <w:rsid w:val="000234CE"/>
    <w:rsid w:val="00023DAF"/>
    <w:rsid w:val="0003021A"/>
    <w:rsid w:val="000305F3"/>
    <w:rsid w:val="00030C09"/>
    <w:rsid w:val="00034E07"/>
    <w:rsid w:val="00036000"/>
    <w:rsid w:val="00050C79"/>
    <w:rsid w:val="000637CF"/>
    <w:rsid w:val="000668A4"/>
    <w:rsid w:val="00070D26"/>
    <w:rsid w:val="0007612C"/>
    <w:rsid w:val="00076FC0"/>
    <w:rsid w:val="0008379E"/>
    <w:rsid w:val="00087F56"/>
    <w:rsid w:val="000954EF"/>
    <w:rsid w:val="000959A8"/>
    <w:rsid w:val="00097E4D"/>
    <w:rsid w:val="000A4523"/>
    <w:rsid w:val="000C32C7"/>
    <w:rsid w:val="000C7A2F"/>
    <w:rsid w:val="000D73A0"/>
    <w:rsid w:val="000E68E0"/>
    <w:rsid w:val="000F11DA"/>
    <w:rsid w:val="000F3E3A"/>
    <w:rsid w:val="000F5493"/>
    <w:rsid w:val="000F7A1D"/>
    <w:rsid w:val="001040E9"/>
    <w:rsid w:val="001051CB"/>
    <w:rsid w:val="001079F8"/>
    <w:rsid w:val="00136021"/>
    <w:rsid w:val="001423B5"/>
    <w:rsid w:val="0014298F"/>
    <w:rsid w:val="001430C8"/>
    <w:rsid w:val="00143619"/>
    <w:rsid w:val="001507D7"/>
    <w:rsid w:val="001518E3"/>
    <w:rsid w:val="0016033D"/>
    <w:rsid w:val="001979AF"/>
    <w:rsid w:val="001A08BA"/>
    <w:rsid w:val="001A1DDA"/>
    <w:rsid w:val="001A51BC"/>
    <w:rsid w:val="001A63D2"/>
    <w:rsid w:val="001A6EFD"/>
    <w:rsid w:val="001A7E82"/>
    <w:rsid w:val="001B1631"/>
    <w:rsid w:val="001B3FFF"/>
    <w:rsid w:val="001C454D"/>
    <w:rsid w:val="001D7DF1"/>
    <w:rsid w:val="001E36A5"/>
    <w:rsid w:val="001E4A18"/>
    <w:rsid w:val="001F08AB"/>
    <w:rsid w:val="001F7388"/>
    <w:rsid w:val="00200009"/>
    <w:rsid w:val="00201F58"/>
    <w:rsid w:val="002068E6"/>
    <w:rsid w:val="00206BCA"/>
    <w:rsid w:val="002112A6"/>
    <w:rsid w:val="0021649C"/>
    <w:rsid w:val="00216EE9"/>
    <w:rsid w:val="00224017"/>
    <w:rsid w:val="0022619D"/>
    <w:rsid w:val="00234E69"/>
    <w:rsid w:val="002366A2"/>
    <w:rsid w:val="002371DB"/>
    <w:rsid w:val="00253992"/>
    <w:rsid w:val="00267B1A"/>
    <w:rsid w:val="00276700"/>
    <w:rsid w:val="002862B0"/>
    <w:rsid w:val="002870CE"/>
    <w:rsid w:val="002A0DAF"/>
    <w:rsid w:val="002A1D94"/>
    <w:rsid w:val="002A4D7E"/>
    <w:rsid w:val="002B0A23"/>
    <w:rsid w:val="002B2ADC"/>
    <w:rsid w:val="002B5D0D"/>
    <w:rsid w:val="002B606D"/>
    <w:rsid w:val="002B69B1"/>
    <w:rsid w:val="002C46B2"/>
    <w:rsid w:val="002C6111"/>
    <w:rsid w:val="002C6C67"/>
    <w:rsid w:val="002F38E0"/>
    <w:rsid w:val="002F3F62"/>
    <w:rsid w:val="00303028"/>
    <w:rsid w:val="00305762"/>
    <w:rsid w:val="00321050"/>
    <w:rsid w:val="00323B43"/>
    <w:rsid w:val="00324EE0"/>
    <w:rsid w:val="00331D38"/>
    <w:rsid w:val="00335CEC"/>
    <w:rsid w:val="00341057"/>
    <w:rsid w:val="00341BFD"/>
    <w:rsid w:val="0035002C"/>
    <w:rsid w:val="00355150"/>
    <w:rsid w:val="00360629"/>
    <w:rsid w:val="00372319"/>
    <w:rsid w:val="003726BC"/>
    <w:rsid w:val="00396BE6"/>
    <w:rsid w:val="003A6A43"/>
    <w:rsid w:val="003A7DDF"/>
    <w:rsid w:val="003B1516"/>
    <w:rsid w:val="003C2C47"/>
    <w:rsid w:val="003D37D8"/>
    <w:rsid w:val="003D5A61"/>
    <w:rsid w:val="003D69E4"/>
    <w:rsid w:val="003D7211"/>
    <w:rsid w:val="003E7EB9"/>
    <w:rsid w:val="0040110A"/>
    <w:rsid w:val="0040684A"/>
    <w:rsid w:val="00407571"/>
    <w:rsid w:val="00411261"/>
    <w:rsid w:val="00427202"/>
    <w:rsid w:val="004358AB"/>
    <w:rsid w:val="0043676E"/>
    <w:rsid w:val="004508BF"/>
    <w:rsid w:val="00455325"/>
    <w:rsid w:val="00460521"/>
    <w:rsid w:val="004626B3"/>
    <w:rsid w:val="00472D2B"/>
    <w:rsid w:val="00487A08"/>
    <w:rsid w:val="004953B5"/>
    <w:rsid w:val="004A6DBE"/>
    <w:rsid w:val="004A712E"/>
    <w:rsid w:val="004C3D5D"/>
    <w:rsid w:val="004D3998"/>
    <w:rsid w:val="004D5AC9"/>
    <w:rsid w:val="004E2650"/>
    <w:rsid w:val="004E4BFE"/>
    <w:rsid w:val="004F13F0"/>
    <w:rsid w:val="0050639F"/>
    <w:rsid w:val="005103CE"/>
    <w:rsid w:val="00521412"/>
    <w:rsid w:val="00523749"/>
    <w:rsid w:val="005414C0"/>
    <w:rsid w:val="00551281"/>
    <w:rsid w:val="00563AE6"/>
    <w:rsid w:val="00563AF2"/>
    <w:rsid w:val="00564F99"/>
    <w:rsid w:val="00567211"/>
    <w:rsid w:val="0057177C"/>
    <w:rsid w:val="00574510"/>
    <w:rsid w:val="00577817"/>
    <w:rsid w:val="00590225"/>
    <w:rsid w:val="00592330"/>
    <w:rsid w:val="00595811"/>
    <w:rsid w:val="00596BD9"/>
    <w:rsid w:val="005971A3"/>
    <w:rsid w:val="005A17AE"/>
    <w:rsid w:val="005A2D21"/>
    <w:rsid w:val="005A6B89"/>
    <w:rsid w:val="005B2209"/>
    <w:rsid w:val="005C3383"/>
    <w:rsid w:val="005C7CBB"/>
    <w:rsid w:val="005D03DE"/>
    <w:rsid w:val="005D35B3"/>
    <w:rsid w:val="005E0C1A"/>
    <w:rsid w:val="005E49C7"/>
    <w:rsid w:val="005F32B9"/>
    <w:rsid w:val="005F4378"/>
    <w:rsid w:val="005F61A4"/>
    <w:rsid w:val="0060667A"/>
    <w:rsid w:val="00611D81"/>
    <w:rsid w:val="00611F06"/>
    <w:rsid w:val="0062535A"/>
    <w:rsid w:val="00626409"/>
    <w:rsid w:val="006341BC"/>
    <w:rsid w:val="00641160"/>
    <w:rsid w:val="00651D48"/>
    <w:rsid w:val="00655293"/>
    <w:rsid w:val="00656171"/>
    <w:rsid w:val="00663101"/>
    <w:rsid w:val="0067381F"/>
    <w:rsid w:val="00673C39"/>
    <w:rsid w:val="006831C9"/>
    <w:rsid w:val="00692572"/>
    <w:rsid w:val="006B3140"/>
    <w:rsid w:val="006C0CAF"/>
    <w:rsid w:val="006D07FC"/>
    <w:rsid w:val="006D253A"/>
    <w:rsid w:val="006E50D2"/>
    <w:rsid w:val="006F6695"/>
    <w:rsid w:val="006F71DC"/>
    <w:rsid w:val="00710754"/>
    <w:rsid w:val="00737FB4"/>
    <w:rsid w:val="007460E3"/>
    <w:rsid w:val="00747F52"/>
    <w:rsid w:val="007544CE"/>
    <w:rsid w:val="007635A9"/>
    <w:rsid w:val="00764DC6"/>
    <w:rsid w:val="0077194C"/>
    <w:rsid w:val="00774357"/>
    <w:rsid w:val="00780B1B"/>
    <w:rsid w:val="0078217F"/>
    <w:rsid w:val="007858BF"/>
    <w:rsid w:val="0079036B"/>
    <w:rsid w:val="007B1201"/>
    <w:rsid w:val="007C1EFC"/>
    <w:rsid w:val="007D3587"/>
    <w:rsid w:val="007E5FE6"/>
    <w:rsid w:val="007E648F"/>
    <w:rsid w:val="007F6F3D"/>
    <w:rsid w:val="00803F30"/>
    <w:rsid w:val="00804922"/>
    <w:rsid w:val="008176FD"/>
    <w:rsid w:val="00820723"/>
    <w:rsid w:val="0082088F"/>
    <w:rsid w:val="00821CB8"/>
    <w:rsid w:val="0082444C"/>
    <w:rsid w:val="00833193"/>
    <w:rsid w:val="008365AE"/>
    <w:rsid w:val="008421B6"/>
    <w:rsid w:val="008665C0"/>
    <w:rsid w:val="0087199A"/>
    <w:rsid w:val="00872DC3"/>
    <w:rsid w:val="00873A39"/>
    <w:rsid w:val="0087515F"/>
    <w:rsid w:val="00881B89"/>
    <w:rsid w:val="008837C4"/>
    <w:rsid w:val="00890CE9"/>
    <w:rsid w:val="008A6037"/>
    <w:rsid w:val="008B7726"/>
    <w:rsid w:val="008C488E"/>
    <w:rsid w:val="008D0573"/>
    <w:rsid w:val="008E2FBC"/>
    <w:rsid w:val="008F4960"/>
    <w:rsid w:val="008F508F"/>
    <w:rsid w:val="008F5238"/>
    <w:rsid w:val="009060AF"/>
    <w:rsid w:val="009079F3"/>
    <w:rsid w:val="00912628"/>
    <w:rsid w:val="0092067E"/>
    <w:rsid w:val="00931158"/>
    <w:rsid w:val="00933B1C"/>
    <w:rsid w:val="00934430"/>
    <w:rsid w:val="00940281"/>
    <w:rsid w:val="0094068E"/>
    <w:rsid w:val="0094679F"/>
    <w:rsid w:val="00951877"/>
    <w:rsid w:val="00951E64"/>
    <w:rsid w:val="009541D7"/>
    <w:rsid w:val="009607DC"/>
    <w:rsid w:val="00962DAD"/>
    <w:rsid w:val="00966F7F"/>
    <w:rsid w:val="0097048C"/>
    <w:rsid w:val="00983062"/>
    <w:rsid w:val="009A260F"/>
    <w:rsid w:val="009A31FF"/>
    <w:rsid w:val="009A3A29"/>
    <w:rsid w:val="009B2D4E"/>
    <w:rsid w:val="009B6E22"/>
    <w:rsid w:val="009C0011"/>
    <w:rsid w:val="009C6FFE"/>
    <w:rsid w:val="009D0835"/>
    <w:rsid w:val="009D7583"/>
    <w:rsid w:val="009E017F"/>
    <w:rsid w:val="009E5E44"/>
    <w:rsid w:val="009F0979"/>
    <w:rsid w:val="009F107F"/>
    <w:rsid w:val="009F724D"/>
    <w:rsid w:val="00A040E3"/>
    <w:rsid w:val="00A145C7"/>
    <w:rsid w:val="00A31A84"/>
    <w:rsid w:val="00A3451F"/>
    <w:rsid w:val="00A370A8"/>
    <w:rsid w:val="00A458E9"/>
    <w:rsid w:val="00A6297C"/>
    <w:rsid w:val="00A633EA"/>
    <w:rsid w:val="00A665D7"/>
    <w:rsid w:val="00A7253D"/>
    <w:rsid w:val="00A725B6"/>
    <w:rsid w:val="00A75390"/>
    <w:rsid w:val="00A75962"/>
    <w:rsid w:val="00A82B42"/>
    <w:rsid w:val="00A94F81"/>
    <w:rsid w:val="00A97BF5"/>
    <w:rsid w:val="00AA1363"/>
    <w:rsid w:val="00AA416E"/>
    <w:rsid w:val="00AA5303"/>
    <w:rsid w:val="00AA62AB"/>
    <w:rsid w:val="00AA7E4E"/>
    <w:rsid w:val="00AB220C"/>
    <w:rsid w:val="00AB3A44"/>
    <w:rsid w:val="00AB45E1"/>
    <w:rsid w:val="00AC013F"/>
    <w:rsid w:val="00AC1865"/>
    <w:rsid w:val="00AC5360"/>
    <w:rsid w:val="00AC5F59"/>
    <w:rsid w:val="00AD1623"/>
    <w:rsid w:val="00AE26AC"/>
    <w:rsid w:val="00AE4EB9"/>
    <w:rsid w:val="00AE536A"/>
    <w:rsid w:val="00AE6DDC"/>
    <w:rsid w:val="00AF1C34"/>
    <w:rsid w:val="00B12FED"/>
    <w:rsid w:val="00B1397A"/>
    <w:rsid w:val="00B20092"/>
    <w:rsid w:val="00B228C3"/>
    <w:rsid w:val="00B323DD"/>
    <w:rsid w:val="00B33438"/>
    <w:rsid w:val="00B36F45"/>
    <w:rsid w:val="00B400A4"/>
    <w:rsid w:val="00B43E31"/>
    <w:rsid w:val="00B452E9"/>
    <w:rsid w:val="00B47804"/>
    <w:rsid w:val="00B54F07"/>
    <w:rsid w:val="00B70C6B"/>
    <w:rsid w:val="00B723D3"/>
    <w:rsid w:val="00B818B3"/>
    <w:rsid w:val="00B86D44"/>
    <w:rsid w:val="00B952A1"/>
    <w:rsid w:val="00B962E0"/>
    <w:rsid w:val="00B964AA"/>
    <w:rsid w:val="00BA41EA"/>
    <w:rsid w:val="00BA4356"/>
    <w:rsid w:val="00BB2BDE"/>
    <w:rsid w:val="00BB4916"/>
    <w:rsid w:val="00BB4B5D"/>
    <w:rsid w:val="00BB767F"/>
    <w:rsid w:val="00BC0E9B"/>
    <w:rsid w:val="00BC47A2"/>
    <w:rsid w:val="00BC6C08"/>
    <w:rsid w:val="00BD1E5E"/>
    <w:rsid w:val="00BD61FA"/>
    <w:rsid w:val="00BF0C1C"/>
    <w:rsid w:val="00BF2D39"/>
    <w:rsid w:val="00BF52D5"/>
    <w:rsid w:val="00BF5AE1"/>
    <w:rsid w:val="00C11442"/>
    <w:rsid w:val="00C1434A"/>
    <w:rsid w:val="00C2295F"/>
    <w:rsid w:val="00C23DFD"/>
    <w:rsid w:val="00C324B7"/>
    <w:rsid w:val="00C33D03"/>
    <w:rsid w:val="00C3666D"/>
    <w:rsid w:val="00C37846"/>
    <w:rsid w:val="00C379D7"/>
    <w:rsid w:val="00C44266"/>
    <w:rsid w:val="00C54530"/>
    <w:rsid w:val="00C677A4"/>
    <w:rsid w:val="00C74153"/>
    <w:rsid w:val="00C873CC"/>
    <w:rsid w:val="00C94705"/>
    <w:rsid w:val="00CA7C79"/>
    <w:rsid w:val="00CB6D5A"/>
    <w:rsid w:val="00CD52B2"/>
    <w:rsid w:val="00CE25B7"/>
    <w:rsid w:val="00CE7698"/>
    <w:rsid w:val="00CF3E6B"/>
    <w:rsid w:val="00D03EDA"/>
    <w:rsid w:val="00D06315"/>
    <w:rsid w:val="00D0686C"/>
    <w:rsid w:val="00D153B9"/>
    <w:rsid w:val="00D15B01"/>
    <w:rsid w:val="00D407E0"/>
    <w:rsid w:val="00D4316D"/>
    <w:rsid w:val="00D43ECA"/>
    <w:rsid w:val="00D47FFE"/>
    <w:rsid w:val="00D674DE"/>
    <w:rsid w:val="00D70C5E"/>
    <w:rsid w:val="00D85094"/>
    <w:rsid w:val="00DA0A0F"/>
    <w:rsid w:val="00DA2FA7"/>
    <w:rsid w:val="00DA58F2"/>
    <w:rsid w:val="00DC6CF0"/>
    <w:rsid w:val="00DD34B8"/>
    <w:rsid w:val="00DE4277"/>
    <w:rsid w:val="00DF3E78"/>
    <w:rsid w:val="00E05DA2"/>
    <w:rsid w:val="00E06913"/>
    <w:rsid w:val="00E11004"/>
    <w:rsid w:val="00E23CBC"/>
    <w:rsid w:val="00E270D7"/>
    <w:rsid w:val="00E320CD"/>
    <w:rsid w:val="00E36DD8"/>
    <w:rsid w:val="00E432C1"/>
    <w:rsid w:val="00E43E0C"/>
    <w:rsid w:val="00E45CCD"/>
    <w:rsid w:val="00E4792D"/>
    <w:rsid w:val="00E5135F"/>
    <w:rsid w:val="00E62096"/>
    <w:rsid w:val="00E70118"/>
    <w:rsid w:val="00E8623B"/>
    <w:rsid w:val="00E90AA7"/>
    <w:rsid w:val="00E927A7"/>
    <w:rsid w:val="00EA5A39"/>
    <w:rsid w:val="00EB2B55"/>
    <w:rsid w:val="00EB463D"/>
    <w:rsid w:val="00EB5FF5"/>
    <w:rsid w:val="00EC1473"/>
    <w:rsid w:val="00EC7902"/>
    <w:rsid w:val="00EC7AEB"/>
    <w:rsid w:val="00ED5761"/>
    <w:rsid w:val="00EF2EE3"/>
    <w:rsid w:val="00EF5F2E"/>
    <w:rsid w:val="00F00C19"/>
    <w:rsid w:val="00F04461"/>
    <w:rsid w:val="00F052DE"/>
    <w:rsid w:val="00F063A4"/>
    <w:rsid w:val="00F07A0F"/>
    <w:rsid w:val="00F10408"/>
    <w:rsid w:val="00F10C89"/>
    <w:rsid w:val="00F15DDE"/>
    <w:rsid w:val="00F2716F"/>
    <w:rsid w:val="00F33239"/>
    <w:rsid w:val="00F40035"/>
    <w:rsid w:val="00F40BEA"/>
    <w:rsid w:val="00F43C24"/>
    <w:rsid w:val="00F46500"/>
    <w:rsid w:val="00F53D22"/>
    <w:rsid w:val="00F62262"/>
    <w:rsid w:val="00F7002B"/>
    <w:rsid w:val="00F71BD4"/>
    <w:rsid w:val="00F72C02"/>
    <w:rsid w:val="00F73617"/>
    <w:rsid w:val="00F7613D"/>
    <w:rsid w:val="00F81A8C"/>
    <w:rsid w:val="00FA0B97"/>
    <w:rsid w:val="00FA322C"/>
    <w:rsid w:val="00FC1072"/>
    <w:rsid w:val="00FD1DF6"/>
    <w:rsid w:val="00FD594F"/>
    <w:rsid w:val="00FD6402"/>
    <w:rsid w:val="00FE052B"/>
    <w:rsid w:val="00FE4D79"/>
    <w:rsid w:val="00FF07F4"/>
    <w:rsid w:val="00FF5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2FD74-3EA8-452D-8E53-1E49891A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F7F"/>
    <w:rPr>
      <w:rFonts w:ascii="Times New Roman" w:eastAsia="宋体" w:hAnsi="Times New Roman" w:cs="Times New Roman"/>
      <w:kern w:val="2"/>
      <w:sz w:val="18"/>
      <w:szCs w:val="18"/>
    </w:rPr>
  </w:style>
  <w:style w:type="paragraph" w:styleId="a4">
    <w:name w:val="footer"/>
    <w:basedOn w:val="a"/>
    <w:link w:val="Char0"/>
    <w:uiPriority w:val="99"/>
    <w:unhideWhenUsed/>
    <w:rsid w:val="00966F7F"/>
    <w:pPr>
      <w:tabs>
        <w:tab w:val="center" w:pos="4153"/>
        <w:tab w:val="right" w:pos="8306"/>
      </w:tabs>
      <w:snapToGrid w:val="0"/>
      <w:jc w:val="left"/>
    </w:pPr>
    <w:rPr>
      <w:sz w:val="18"/>
      <w:szCs w:val="18"/>
    </w:rPr>
  </w:style>
  <w:style w:type="character" w:customStyle="1" w:styleId="Char0">
    <w:name w:val="页脚 Char"/>
    <w:basedOn w:val="a0"/>
    <w:link w:val="a4"/>
    <w:uiPriority w:val="99"/>
    <w:rsid w:val="00966F7F"/>
    <w:rPr>
      <w:rFonts w:ascii="Times New Roman" w:eastAsia="宋体" w:hAnsi="Times New Roman" w:cs="Times New Roman"/>
      <w:kern w:val="2"/>
      <w:sz w:val="18"/>
      <w:szCs w:val="18"/>
    </w:rPr>
  </w:style>
  <w:style w:type="paragraph" w:styleId="a5">
    <w:name w:val="List Paragraph"/>
    <w:basedOn w:val="a"/>
    <w:uiPriority w:val="34"/>
    <w:qFormat/>
    <w:rsid w:val="00216EE9"/>
    <w:pPr>
      <w:ind w:firstLineChars="200" w:firstLine="420"/>
    </w:pPr>
  </w:style>
  <w:style w:type="paragraph" w:styleId="a6">
    <w:name w:val="Balloon Text"/>
    <w:basedOn w:val="a"/>
    <w:link w:val="Char1"/>
    <w:uiPriority w:val="99"/>
    <w:semiHidden/>
    <w:unhideWhenUsed/>
    <w:rsid w:val="00EF5F2E"/>
    <w:rPr>
      <w:sz w:val="18"/>
      <w:szCs w:val="18"/>
    </w:rPr>
  </w:style>
  <w:style w:type="character" w:customStyle="1" w:styleId="Char1">
    <w:name w:val="批注框文本 Char"/>
    <w:basedOn w:val="a0"/>
    <w:link w:val="a6"/>
    <w:uiPriority w:val="99"/>
    <w:semiHidden/>
    <w:rsid w:val="00EF5F2E"/>
    <w:rPr>
      <w:rFonts w:ascii="Times New Roman" w:eastAsia="宋体" w:hAnsi="Times New Roman" w:cs="Times New Roman"/>
      <w:kern w:val="2"/>
      <w:sz w:val="18"/>
      <w:szCs w:val="18"/>
    </w:rPr>
  </w:style>
  <w:style w:type="character" w:styleId="a7">
    <w:name w:val="Hyperlink"/>
    <w:basedOn w:val="a0"/>
    <w:uiPriority w:val="99"/>
    <w:unhideWhenUsed/>
    <w:rsid w:val="009541D7"/>
    <w:rPr>
      <w:color w:val="0000FF" w:themeColor="hyperlink"/>
      <w:u w:val="single"/>
    </w:rPr>
  </w:style>
  <w:style w:type="paragraph" w:customStyle="1" w:styleId="Default">
    <w:name w:val="Default"/>
    <w:rsid w:val="00372319"/>
    <w:pPr>
      <w:widowControl w:val="0"/>
      <w:autoSpaceDE w:val="0"/>
      <w:autoSpaceDN w:val="0"/>
      <w:adjustRightInd w:val="0"/>
      <w:spacing w:after="0" w:line="240" w:lineRule="auto"/>
    </w:pPr>
    <w:rPr>
      <w:rFonts w:ascii="宋体" w:eastAsia="宋体" w:cs="宋体"/>
      <w:color w:val="000000"/>
      <w:sz w:val="24"/>
      <w:szCs w:val="24"/>
    </w:rPr>
  </w:style>
  <w:style w:type="paragraph" w:customStyle="1" w:styleId="005">
    <w:name w:val="005正文"/>
    <w:basedOn w:val="a"/>
    <w:link w:val="005Char"/>
    <w:rsid w:val="00360629"/>
    <w:pPr>
      <w:spacing w:beforeLines="50" w:before="50" w:afterLines="50" w:after="50" w:line="360" w:lineRule="auto"/>
      <w:ind w:firstLineChars="200" w:firstLine="200"/>
    </w:pPr>
    <w:rPr>
      <w:sz w:val="24"/>
      <w:szCs w:val="22"/>
    </w:rPr>
  </w:style>
  <w:style w:type="character" w:customStyle="1" w:styleId="005Char">
    <w:name w:val="005正文 Char"/>
    <w:link w:val="005"/>
    <w:rsid w:val="00360629"/>
    <w:rPr>
      <w:rFonts w:ascii="Times New Roman"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3</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dc:creator>
  <cp:lastModifiedBy>葛彦彤</cp:lastModifiedBy>
  <cp:revision>44</cp:revision>
  <cp:lastPrinted>2017-05-02T08:18:00Z</cp:lastPrinted>
  <dcterms:created xsi:type="dcterms:W3CDTF">2017-03-31T09:15:00Z</dcterms:created>
  <dcterms:modified xsi:type="dcterms:W3CDTF">2019-01-25T08:58:00Z</dcterms:modified>
</cp:coreProperties>
</file>