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354" w:firstLineChars="147"/>
        <w:rPr>
          <w:rFonts w:ascii="宋体" w:hAnsi="宋体"/>
          <w:b/>
          <w:bCs/>
          <w:iCs/>
          <w:sz w:val="24"/>
        </w:rPr>
      </w:pPr>
      <w:r>
        <w:rPr>
          <w:rFonts w:hint="eastAsia" w:ascii="宋体" w:hAnsi="宋体"/>
          <w:b/>
          <w:bCs/>
          <w:iCs/>
          <w:sz w:val="24"/>
        </w:rPr>
        <w:t>证券代码：002838                             证券简称：道恩股份</w:t>
      </w:r>
    </w:p>
    <w:p>
      <w:pPr>
        <w:spacing w:before="156" w:beforeLines="50" w:after="156" w:afterLines="50" w:line="400" w:lineRule="exact"/>
        <w:jc w:val="center"/>
        <w:rPr>
          <w:rFonts w:ascii="宋体" w:hAnsi="宋体"/>
          <w:b/>
          <w:bCs/>
          <w:iCs/>
          <w:sz w:val="28"/>
          <w:szCs w:val="28"/>
        </w:rPr>
      </w:pPr>
      <w:r>
        <w:rPr>
          <w:rFonts w:hint="eastAsia" w:ascii="宋体" w:hAnsi="宋体"/>
          <w:b/>
          <w:bCs/>
          <w:iCs/>
          <w:sz w:val="28"/>
          <w:szCs w:val="28"/>
        </w:rPr>
        <w:t>山东道恩高分子材料股份有限公司</w:t>
      </w:r>
    </w:p>
    <w:p>
      <w:pPr>
        <w:spacing w:before="156" w:beforeLines="50" w:after="156" w:afterLines="50" w:line="400" w:lineRule="exact"/>
        <w:jc w:val="center"/>
        <w:rPr>
          <w:rFonts w:ascii="宋体" w:hAnsi="宋体"/>
          <w:b/>
          <w:bCs/>
          <w:iCs/>
          <w:sz w:val="28"/>
          <w:szCs w:val="28"/>
        </w:rPr>
      </w:pPr>
      <w:r>
        <w:rPr>
          <w:rFonts w:hint="eastAsia" w:ascii="宋体" w:hAnsi="宋体"/>
          <w:b/>
          <w:bCs/>
          <w:iCs/>
          <w:sz w:val="28"/>
          <w:szCs w:val="28"/>
        </w:rPr>
        <w:t>投资者关系活动记录表</w:t>
      </w:r>
    </w:p>
    <w:p>
      <w:pPr>
        <w:spacing w:line="400" w:lineRule="exact"/>
        <w:jc w:val="right"/>
        <w:rPr>
          <w:rFonts w:ascii="宋体" w:hAnsi="宋体"/>
          <w:bCs/>
          <w:iCs/>
          <w:sz w:val="24"/>
          <w:szCs w:val="24"/>
        </w:rPr>
      </w:pPr>
      <w:r>
        <w:rPr>
          <w:rFonts w:hint="eastAsia" w:ascii="宋体" w:hAnsi="宋体"/>
          <w:bCs/>
          <w:iCs/>
          <w:sz w:val="24"/>
          <w:szCs w:val="24"/>
        </w:rPr>
        <w:t>编号：2019-002号</w:t>
      </w:r>
    </w:p>
    <w:tbl>
      <w:tblPr>
        <w:tblStyle w:val="9"/>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line="480" w:lineRule="atLeast"/>
              <w:rPr>
                <w:rFonts w:ascii="宋体" w:hAnsi="宋体"/>
                <w:b/>
                <w:bCs/>
                <w:iCs/>
                <w:kern w:val="0"/>
                <w:szCs w:val="21"/>
              </w:rPr>
            </w:pPr>
            <w:r>
              <w:rPr>
                <w:rFonts w:hint="eastAsia" w:ascii="宋体" w:hAnsi="宋体"/>
                <w:b/>
                <w:bCs/>
                <w:iCs/>
                <w:kern w:val="0"/>
                <w:szCs w:val="21"/>
              </w:rPr>
              <w:t>投资者关系活动类别</w:t>
            </w:r>
          </w:p>
          <w:p>
            <w:pPr>
              <w:spacing w:line="480" w:lineRule="atLeast"/>
              <w:rPr>
                <w:rFonts w:ascii="宋体" w:hAnsi="宋体"/>
                <w:b/>
                <w:bCs/>
                <w:iCs/>
                <w:kern w:val="0"/>
                <w:szCs w:val="21"/>
              </w:rPr>
            </w:pPr>
          </w:p>
        </w:tc>
        <w:tc>
          <w:tcPr>
            <w:tcW w:w="6946" w:type="dxa"/>
            <w:tcBorders>
              <w:bottom w:val="single" w:color="auto" w:sz="4" w:space="0"/>
            </w:tcBorders>
          </w:tcPr>
          <w:p>
            <w:pPr>
              <w:spacing w:line="480" w:lineRule="atLeast"/>
              <w:rPr>
                <w:rFonts w:ascii="宋体" w:hAnsi="宋体"/>
                <w:bCs/>
                <w:iCs/>
                <w:kern w:val="0"/>
                <w:szCs w:val="21"/>
              </w:rPr>
            </w:pPr>
            <w:r>
              <w:rPr>
                <w:rFonts w:ascii="Wingdings 2" w:hAnsi="Wingdings 2"/>
                <w:bCs/>
                <w:iCs/>
                <w:color w:val="000000"/>
                <w:kern w:val="0"/>
                <w:sz w:val="24"/>
              </w:rPr>
              <w:t></w:t>
            </w:r>
            <w:r>
              <w:rPr>
                <w:rFonts w:hint="eastAsia" w:ascii="宋体" w:hAnsi="宋体"/>
                <w:kern w:val="0"/>
                <w:szCs w:val="21"/>
              </w:rPr>
              <w:t xml:space="preserve">特定对象调研        </w:t>
            </w:r>
            <w:r>
              <w:rPr>
                <w:rFonts w:hint="eastAsia" w:ascii="宋体" w:hAnsi="宋体"/>
                <w:bCs/>
                <w:iCs/>
                <w:kern w:val="0"/>
                <w:szCs w:val="21"/>
              </w:rPr>
              <w:t>□</w:t>
            </w:r>
            <w:r>
              <w:rPr>
                <w:rFonts w:hint="eastAsia" w:ascii="宋体" w:hAnsi="宋体"/>
                <w:kern w:val="0"/>
                <w:szCs w:val="21"/>
              </w:rPr>
              <w:t>分析师会议</w:t>
            </w:r>
          </w:p>
          <w:p>
            <w:pPr>
              <w:spacing w:line="480" w:lineRule="atLeast"/>
              <w:rPr>
                <w:rFonts w:ascii="宋体" w:hAnsi="宋体"/>
                <w:bCs/>
                <w:iCs/>
                <w:kern w:val="0"/>
                <w:szCs w:val="21"/>
              </w:rPr>
            </w:pPr>
            <w:r>
              <w:rPr>
                <w:rFonts w:hint="eastAsia" w:ascii="宋体" w:hAnsi="宋体"/>
                <w:bCs/>
                <w:iCs/>
                <w:kern w:val="0"/>
                <w:szCs w:val="21"/>
              </w:rPr>
              <w:t>□</w:t>
            </w:r>
            <w:r>
              <w:rPr>
                <w:rFonts w:hint="eastAsia" w:ascii="宋体" w:hAnsi="宋体"/>
                <w:kern w:val="0"/>
                <w:szCs w:val="21"/>
              </w:rPr>
              <w:t xml:space="preserve">媒体采访            </w:t>
            </w:r>
            <w:r>
              <w:rPr>
                <w:rFonts w:hint="eastAsia" w:ascii="宋体" w:hAnsi="宋体"/>
                <w:bCs/>
                <w:iCs/>
                <w:kern w:val="0"/>
                <w:szCs w:val="21"/>
              </w:rPr>
              <w:t>□</w:t>
            </w:r>
            <w:r>
              <w:rPr>
                <w:rFonts w:hint="eastAsia" w:ascii="宋体" w:hAnsi="宋体"/>
                <w:kern w:val="0"/>
                <w:szCs w:val="21"/>
              </w:rPr>
              <w:t>业绩说明会</w:t>
            </w:r>
          </w:p>
          <w:p>
            <w:pPr>
              <w:spacing w:line="480" w:lineRule="atLeast"/>
              <w:rPr>
                <w:rFonts w:ascii="宋体" w:hAnsi="宋体"/>
                <w:bCs/>
                <w:iCs/>
                <w:kern w:val="0"/>
                <w:szCs w:val="21"/>
              </w:rPr>
            </w:pPr>
            <w:r>
              <w:rPr>
                <w:rFonts w:hint="eastAsia" w:ascii="宋体" w:hAnsi="宋体"/>
                <w:bCs/>
                <w:iCs/>
                <w:kern w:val="0"/>
                <w:szCs w:val="21"/>
              </w:rPr>
              <w:t>□</w:t>
            </w:r>
            <w:r>
              <w:rPr>
                <w:rFonts w:hint="eastAsia" w:ascii="宋体" w:hAnsi="宋体"/>
                <w:kern w:val="0"/>
                <w:szCs w:val="21"/>
              </w:rPr>
              <w:t xml:space="preserve">新闻发布会          </w:t>
            </w:r>
            <w:r>
              <w:rPr>
                <w:rFonts w:hint="eastAsia" w:ascii="宋体" w:hAnsi="宋体"/>
                <w:bCs/>
                <w:iCs/>
                <w:kern w:val="0"/>
                <w:szCs w:val="21"/>
              </w:rPr>
              <w:t>□</w:t>
            </w:r>
            <w:r>
              <w:rPr>
                <w:rFonts w:hint="eastAsia" w:ascii="宋体" w:hAnsi="宋体"/>
                <w:kern w:val="0"/>
                <w:szCs w:val="21"/>
              </w:rPr>
              <w:t>路演活动</w:t>
            </w:r>
          </w:p>
          <w:p>
            <w:pPr>
              <w:tabs>
                <w:tab w:val="left" w:pos="3045"/>
                <w:tab w:val="center" w:pos="3199"/>
              </w:tabs>
              <w:spacing w:line="480" w:lineRule="atLeast"/>
              <w:rPr>
                <w:rFonts w:ascii="宋体" w:hAnsi="宋体"/>
                <w:bCs/>
                <w:iCs/>
                <w:kern w:val="0"/>
                <w:szCs w:val="21"/>
              </w:rPr>
            </w:pPr>
            <w:r>
              <w:rPr>
                <w:rFonts w:ascii="Wingdings 2" w:hAnsi="Wingdings 2"/>
                <w:bCs/>
                <w:iCs/>
                <w:color w:val="000000"/>
                <w:kern w:val="0"/>
                <w:sz w:val="24"/>
              </w:rPr>
              <w:t></w:t>
            </w:r>
            <w:r>
              <w:rPr>
                <w:rFonts w:hint="eastAsia" w:ascii="宋体" w:hAnsi="宋体"/>
                <w:kern w:val="0"/>
                <w:szCs w:val="21"/>
              </w:rPr>
              <w:t xml:space="preserve">现场参观            </w:t>
            </w:r>
            <w:r>
              <w:rPr>
                <w:rFonts w:hint="eastAsia" w:ascii="宋体" w:hAnsi="宋体"/>
                <w:bCs/>
                <w:iCs/>
                <w:kern w:val="0"/>
                <w:szCs w:val="21"/>
              </w:rPr>
              <w:t>□</w:t>
            </w:r>
            <w:r>
              <w:rPr>
                <w:rFonts w:hint="eastAsia" w:ascii="宋体" w:hAnsi="宋体"/>
                <w:kern w:val="0"/>
                <w:szCs w:val="21"/>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line="480" w:lineRule="atLeast"/>
              <w:rPr>
                <w:rFonts w:ascii="宋体" w:hAnsi="宋体"/>
                <w:b/>
                <w:bCs/>
                <w:iCs/>
                <w:kern w:val="0"/>
                <w:szCs w:val="21"/>
              </w:rPr>
            </w:pPr>
            <w:r>
              <w:rPr>
                <w:rFonts w:hint="eastAsia" w:ascii="宋体" w:hAnsi="宋体"/>
                <w:b/>
                <w:bCs/>
                <w:iCs/>
                <w:kern w:val="0"/>
                <w:szCs w:val="21"/>
              </w:rPr>
              <w:t>参与单位名称及人员姓名</w:t>
            </w:r>
          </w:p>
        </w:tc>
        <w:tc>
          <w:tcPr>
            <w:tcW w:w="6946" w:type="dxa"/>
            <w:tcBorders>
              <w:bottom w:val="single" w:color="auto" w:sz="4" w:space="0"/>
            </w:tcBorders>
            <w:vAlign w:val="center"/>
          </w:tcPr>
          <w:p>
            <w:pPr>
              <w:spacing w:line="42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华创证券    贺顺利 </w:t>
            </w:r>
          </w:p>
          <w:p>
            <w:pPr>
              <w:spacing w:line="42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中金证券    沈姗姗 </w:t>
            </w:r>
          </w:p>
          <w:p>
            <w:pPr>
              <w:spacing w:line="42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中金资管    丁匡达 </w:t>
            </w:r>
          </w:p>
          <w:p>
            <w:pPr>
              <w:spacing w:line="42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华夏基金    杨  晋 </w:t>
            </w:r>
          </w:p>
          <w:p>
            <w:pPr>
              <w:spacing w:line="420" w:lineRule="exact"/>
              <w:rPr>
                <w:rFonts w:ascii="仿宋" w:hAnsi="仿宋" w:eastAsia="仿宋"/>
                <w:sz w:val="24"/>
                <w:szCs w:val="24"/>
              </w:rPr>
            </w:pPr>
            <w:r>
              <w:rPr>
                <w:rFonts w:hint="eastAsia" w:asciiTheme="minorEastAsia" w:hAnsiTheme="minorEastAsia" w:eastAsiaTheme="minorEastAsia" w:cstheme="minorEastAsia"/>
                <w:sz w:val="24"/>
                <w:szCs w:val="24"/>
              </w:rPr>
              <w:t>中海基金    蔡尚军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8" w:type="dxa"/>
            <w:vAlign w:val="center"/>
          </w:tcPr>
          <w:p>
            <w:pPr>
              <w:rPr>
                <w:b/>
              </w:rPr>
            </w:pPr>
            <w:r>
              <w:rPr>
                <w:rFonts w:hint="eastAsia"/>
                <w:b/>
              </w:rPr>
              <w:t>时间</w:t>
            </w:r>
          </w:p>
        </w:tc>
        <w:tc>
          <w:tcPr>
            <w:tcW w:w="6946" w:type="dxa"/>
            <w:tcBorders>
              <w:top w:val="single" w:color="auto" w:sz="4" w:space="0"/>
            </w:tcBorders>
            <w:vAlign w:val="center"/>
          </w:tcPr>
          <w:p>
            <w:r>
              <w:rPr>
                <w:rFonts w:hint="eastAsia"/>
              </w:rPr>
              <w:t xml:space="preserve">2019年1月29日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8" w:type="dxa"/>
            <w:vAlign w:val="center"/>
          </w:tcPr>
          <w:p>
            <w:pPr>
              <w:rPr>
                <w:b/>
              </w:rPr>
            </w:pPr>
            <w:r>
              <w:rPr>
                <w:rFonts w:hint="eastAsia"/>
                <w:b/>
              </w:rPr>
              <w:t>地点</w:t>
            </w:r>
          </w:p>
        </w:tc>
        <w:tc>
          <w:tcPr>
            <w:tcW w:w="6946" w:type="dxa"/>
            <w:vAlign w:val="center"/>
          </w:tcPr>
          <w:p>
            <w:r>
              <w:rPr>
                <w:rFonts w:hint="eastAsia"/>
              </w:rPr>
              <w:t>公司二楼会议室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rPr>
                <w:b/>
              </w:rPr>
            </w:pPr>
            <w:r>
              <w:rPr>
                <w:rFonts w:hint="eastAsia"/>
                <w:b/>
              </w:rPr>
              <w:t>上市公司接待人员姓名</w:t>
            </w:r>
          </w:p>
        </w:tc>
        <w:tc>
          <w:tcPr>
            <w:tcW w:w="6946" w:type="dxa"/>
            <w:vAlign w:val="center"/>
          </w:tcPr>
          <w:p>
            <w:r>
              <w:rPr>
                <w:rFonts w:hint="eastAsia"/>
              </w:rPr>
              <w:t>董事会秘书王有庆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1418" w:type="dxa"/>
            <w:vAlign w:val="center"/>
          </w:tcPr>
          <w:p>
            <w:pPr>
              <w:spacing w:line="480" w:lineRule="atLeast"/>
              <w:rPr>
                <w:rFonts w:ascii="宋体" w:hAnsi="宋体"/>
                <w:b/>
                <w:bCs/>
                <w:iCs/>
                <w:kern w:val="0"/>
                <w:szCs w:val="21"/>
              </w:rPr>
            </w:pPr>
            <w:r>
              <w:rPr>
                <w:rFonts w:hint="eastAsia" w:ascii="宋体" w:hAnsi="宋体"/>
                <w:b/>
                <w:bCs/>
                <w:iCs/>
                <w:kern w:val="0"/>
                <w:szCs w:val="21"/>
              </w:rPr>
              <w:t>投资者关系活动主要内容介绍</w:t>
            </w:r>
          </w:p>
          <w:p>
            <w:pPr>
              <w:spacing w:line="480" w:lineRule="atLeast"/>
              <w:rPr>
                <w:rFonts w:ascii="宋体" w:hAnsi="宋体"/>
                <w:b/>
                <w:bCs/>
                <w:iCs/>
                <w:kern w:val="0"/>
                <w:szCs w:val="21"/>
              </w:rPr>
            </w:pPr>
          </w:p>
        </w:tc>
        <w:tc>
          <w:tcPr>
            <w:tcW w:w="6946"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b/>
                <w:szCs w:val="21"/>
              </w:rPr>
            </w:pPr>
            <w:r>
              <w:rPr>
                <w:rFonts w:hint="eastAsia" w:asciiTheme="minorEastAsia" w:hAnsiTheme="minorEastAsia"/>
                <w:b/>
                <w:szCs w:val="21"/>
              </w:rPr>
              <w:t>一、介绍公司基本情况</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szCs w:val="21"/>
              </w:rPr>
            </w:pPr>
            <w:r>
              <w:rPr>
                <w:rFonts w:hint="eastAsia" w:asciiTheme="minorEastAsia" w:hAnsiTheme="minorEastAsia"/>
                <w:szCs w:val="21"/>
              </w:rPr>
              <w:t>道恩股份于2002年成立，主要从事改性塑料的研发、生产和销售。之后随着业务发展拓展了TPV、色母粒等产品。目前 TPV国内规模第一，全球第三，总股本2.52亿，道恩集团和实际控制人及一致行动人约持股占比70%。</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szCs w:val="21"/>
              </w:rPr>
            </w:pPr>
            <w:r>
              <w:rPr>
                <w:rFonts w:asciiTheme="minorEastAsia" w:hAnsiTheme="minorEastAsia"/>
                <w:szCs w:val="21"/>
              </w:rPr>
              <w:t>公司龙口本部改性塑料产能8</w:t>
            </w:r>
            <w:r>
              <w:rPr>
                <w:rFonts w:hint="eastAsia" w:asciiTheme="minorEastAsia" w:hAnsiTheme="minorEastAsia"/>
                <w:szCs w:val="21"/>
              </w:rPr>
              <w:t>万吨，TPV2.2万吨；公司控股全资子公司青岛润兴主营色母粒，产能为2.5万吨；山东道恩特种弹性体其主要业务为氢化丁腈橡胶，一期建设1000吨；大韩道恩公司占股50%；收购了青岛海尔新材料研发有限公司</w:t>
            </w:r>
            <w:r>
              <w:rPr>
                <w:rFonts w:asciiTheme="minorEastAsia" w:hAnsiTheme="minorEastAsia"/>
                <w:szCs w:val="21"/>
              </w:rPr>
              <w:t>8</w:t>
            </w:r>
            <w:r>
              <w:rPr>
                <w:rFonts w:hint="eastAsia" w:asciiTheme="minorEastAsia" w:hAnsiTheme="minorEastAsia"/>
                <w:szCs w:val="21"/>
              </w:rPr>
              <w:t>0%股权，产能为12万吨改性塑料。公司产品广泛应用于汽车、家电、军工、医疗、消费品等领域。</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szCs w:val="21"/>
              </w:rPr>
            </w:pPr>
            <w:r>
              <w:rPr>
                <w:rFonts w:hint="eastAsia" w:asciiTheme="minorEastAsia" w:hAnsiTheme="minorEastAsia"/>
                <w:szCs w:val="21"/>
              </w:rPr>
              <w:t>公司是国内唯一拥有高分子新材料弹性体产品技术的上市公司。TPV是主要盈利产品，其可以替代三元乙丙橡胶，同时解决回收难问题，轻量化环保问题，优势明显。 公司TPV产品</w:t>
            </w:r>
            <w:r>
              <w:rPr>
                <w:rFonts w:asciiTheme="minorEastAsia" w:hAnsiTheme="minorEastAsia"/>
                <w:szCs w:val="21"/>
              </w:rPr>
              <w:t>8</w:t>
            </w:r>
            <w:r>
              <w:rPr>
                <w:rFonts w:hint="eastAsia" w:asciiTheme="minorEastAsia" w:hAnsiTheme="minorEastAsia"/>
                <w:szCs w:val="21"/>
              </w:rPr>
              <w:t>0%应用在汽车上，主要是用于制作密封条，把手，框架，雨刮器等。汽车代表比较高端用量，除此之外，产品还应用在卫浴方面。目前已开始拓展其他领域，如太阳能板支架、高级跑道等。</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szCs w:val="21"/>
              </w:rPr>
            </w:pPr>
            <w:r>
              <w:rPr>
                <w:rFonts w:hint="eastAsia" w:asciiTheme="minorEastAsia" w:hAnsiTheme="minorEastAsia"/>
                <w:szCs w:val="21"/>
              </w:rPr>
              <w:t>TPV技术壁垒高，产品在竞争中优势较大。其生产过程中配方、工艺、设备以及使用的硫化体系，都是核心技术；产品销售下游客户的汽车厂商需要认证，每家认证时间2年左右。产品替代传统橡胶，可以让汽车轻量化，同时车内气味低，所以TPV优势明显，发展空间比较大。</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szCs w:val="21"/>
              </w:rPr>
            </w:pPr>
            <w:r>
              <w:rPr>
                <w:rFonts w:hint="eastAsia" w:asciiTheme="minorEastAsia" w:hAnsiTheme="minorEastAsia"/>
                <w:szCs w:val="21"/>
              </w:rPr>
              <w:t>公司实施轻资产重研发的战略，每年研发支出近4000万，在北京与北化公司合作研发硫化平台，青岛主要研发改性塑料，龙口也有实验室。公司客户是主流的汽车制造商：通用、大众、福特、雪铁龙、雷诺都有，国内比吉利、长安，长城、众泰、北汽新能源等都是公司客户，公司还通过库博公司进行全球TPV供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b/>
                <w:szCs w:val="21"/>
              </w:rPr>
            </w:pPr>
            <w:r>
              <w:rPr>
                <w:rFonts w:hint="eastAsia" w:asciiTheme="minorEastAsia" w:hAnsiTheme="minorEastAsia"/>
                <w:b/>
                <w:szCs w:val="21"/>
              </w:rPr>
              <w:t>二、交流环节</w:t>
            </w:r>
          </w:p>
          <w:p>
            <w:pPr>
              <w:keepNext w:val="0"/>
              <w:keepLines w:val="0"/>
              <w:pageBreakBefore w:val="0"/>
              <w:widowControl w:val="0"/>
              <w:kinsoku/>
              <w:wordWrap/>
              <w:overflowPunct/>
              <w:topLinePunct w:val="0"/>
              <w:autoSpaceDE/>
              <w:autoSpaceDN/>
              <w:bidi w:val="0"/>
              <w:adjustRightInd/>
              <w:snapToGrid/>
              <w:spacing w:line="440" w:lineRule="exact"/>
              <w:ind w:firstLine="440"/>
              <w:textAlignment w:val="auto"/>
              <w:rPr>
                <w:rFonts w:asciiTheme="minorEastAsia" w:hAnsiTheme="minorEastAsia"/>
                <w:b/>
                <w:szCs w:val="21"/>
              </w:rPr>
            </w:pPr>
            <w:r>
              <w:rPr>
                <w:rFonts w:asciiTheme="minorEastAsia" w:hAnsiTheme="minorEastAsia"/>
                <w:b/>
                <w:szCs w:val="21"/>
              </w:rPr>
              <w:t>1</w:t>
            </w:r>
            <w:r>
              <w:rPr>
                <w:rFonts w:hint="eastAsia" w:asciiTheme="minorEastAsia" w:hAnsiTheme="minorEastAsia"/>
                <w:b/>
                <w:szCs w:val="21"/>
              </w:rPr>
              <w:t>．TPV的主要优势</w:t>
            </w:r>
          </w:p>
          <w:p>
            <w:pPr>
              <w:keepNext w:val="0"/>
              <w:keepLines w:val="0"/>
              <w:pageBreakBefore w:val="0"/>
              <w:widowControl w:val="0"/>
              <w:kinsoku/>
              <w:wordWrap/>
              <w:overflowPunct/>
              <w:topLinePunct w:val="0"/>
              <w:autoSpaceDE/>
              <w:autoSpaceDN/>
              <w:bidi w:val="0"/>
              <w:adjustRightInd/>
              <w:snapToGrid/>
              <w:spacing w:line="440" w:lineRule="exact"/>
              <w:ind w:firstLine="440"/>
              <w:textAlignment w:val="auto"/>
              <w:rPr>
                <w:rFonts w:hint="eastAsia" w:asciiTheme="minorEastAsia" w:hAnsiTheme="minorEastAsia"/>
                <w:szCs w:val="21"/>
              </w:rPr>
            </w:pPr>
            <w:r>
              <w:rPr>
                <w:rFonts w:hint="eastAsia" w:asciiTheme="minorEastAsia" w:hAnsiTheme="minorEastAsia"/>
                <w:szCs w:val="21"/>
              </w:rPr>
              <w:t>答：热塑性</w:t>
            </w:r>
            <w:r>
              <w:rPr>
                <w:rFonts w:hint="eastAsia" w:asciiTheme="minorEastAsia" w:hAnsiTheme="minorEastAsia"/>
                <w:szCs w:val="21"/>
                <w:lang w:val="en-US" w:eastAsia="zh-CN"/>
              </w:rPr>
              <w:t>弹性体</w:t>
            </w:r>
            <w:r>
              <w:rPr>
                <w:rFonts w:hint="eastAsia" w:asciiTheme="minorEastAsia" w:hAnsiTheme="minorEastAsia"/>
                <w:szCs w:val="21"/>
              </w:rPr>
              <w:t>TPV在使用时 (即常温下)具有橡胶的高弹性，而在加工时 (高温下)可塑化成型。与传统橡胶制品相比，加工方便不需要开模具；生产过程能耗低、污染小</w:t>
            </w:r>
            <w:r>
              <w:rPr>
                <w:rFonts w:hint="eastAsia" w:asciiTheme="minorEastAsia" w:hAnsiTheme="minorEastAsia"/>
                <w:szCs w:val="21"/>
                <w:lang w:eastAsia="zh-CN"/>
              </w:rPr>
              <w:t>、</w:t>
            </w:r>
            <w:bookmarkStart w:id="0" w:name="_GoBack"/>
            <w:bookmarkEnd w:id="0"/>
            <w:r>
              <w:rPr>
                <w:rFonts w:hint="eastAsia" w:asciiTheme="minorEastAsia" w:hAnsiTheme="minorEastAsia"/>
                <w:szCs w:val="21"/>
              </w:rPr>
              <w:t>效率高有可重复利用没边角料浪费、制品不携带污染物等突出优点，替代势明显。与传统橡胶相比生产流程缩短l/4 ，节约加工能耗75%，效率提高5-</w:t>
            </w:r>
            <w:r>
              <w:rPr>
                <w:rFonts w:asciiTheme="minorEastAsia" w:hAnsiTheme="minorEastAsia"/>
                <w:szCs w:val="21"/>
              </w:rPr>
              <w:t>10倍</w:t>
            </w:r>
            <w:r>
              <w:rPr>
                <w:rFonts w:hint="eastAsia" w:asciiTheme="minorEastAsia" w:hAnsiTheme="minorEastAsia"/>
                <w:szCs w:val="21"/>
              </w:rPr>
              <w:t>，废料可</w:t>
            </w:r>
            <w:r>
              <w:rPr>
                <w:rFonts w:hint="eastAsia" w:asciiTheme="minorEastAsia" w:hAnsiTheme="minorEastAsia"/>
                <w:szCs w:val="21"/>
                <w:lang w:val="en-US" w:eastAsia="zh-CN"/>
              </w:rPr>
              <w:t>回收</w:t>
            </w:r>
            <w:r>
              <w:rPr>
                <w:rFonts w:hint="eastAsia" w:asciiTheme="minorEastAsia" w:hAnsiTheme="minorEastAsia"/>
                <w:szCs w:val="21"/>
              </w:rPr>
              <w:t>，性能优异。</w:t>
            </w:r>
          </w:p>
          <w:p>
            <w:pPr>
              <w:keepNext w:val="0"/>
              <w:keepLines w:val="0"/>
              <w:pageBreakBefore w:val="0"/>
              <w:widowControl w:val="0"/>
              <w:kinsoku/>
              <w:wordWrap/>
              <w:overflowPunct/>
              <w:topLinePunct w:val="0"/>
              <w:autoSpaceDE/>
              <w:autoSpaceDN/>
              <w:bidi w:val="0"/>
              <w:adjustRightInd/>
              <w:snapToGrid/>
              <w:spacing w:line="440" w:lineRule="exact"/>
              <w:ind w:firstLine="440"/>
              <w:textAlignment w:val="auto"/>
              <w:rPr>
                <w:rFonts w:asciiTheme="minorEastAsia" w:hAnsiTheme="minorEastAsia"/>
                <w:b/>
                <w:szCs w:val="21"/>
              </w:rPr>
            </w:pPr>
            <w:r>
              <w:rPr>
                <w:rFonts w:hint="eastAsia" w:asciiTheme="minorEastAsia" w:hAnsiTheme="minorEastAsia"/>
                <w:b/>
                <w:szCs w:val="21"/>
              </w:rPr>
              <w:t>2.TPV替代动力</w:t>
            </w:r>
          </w:p>
          <w:p>
            <w:pPr>
              <w:keepNext w:val="0"/>
              <w:keepLines w:val="0"/>
              <w:pageBreakBefore w:val="0"/>
              <w:widowControl w:val="0"/>
              <w:kinsoku/>
              <w:wordWrap/>
              <w:overflowPunct/>
              <w:topLinePunct w:val="0"/>
              <w:autoSpaceDE/>
              <w:autoSpaceDN/>
              <w:bidi w:val="0"/>
              <w:adjustRightInd/>
              <w:snapToGrid/>
              <w:spacing w:line="440" w:lineRule="exact"/>
              <w:ind w:firstLine="440"/>
              <w:textAlignment w:val="auto"/>
              <w:rPr>
                <w:rFonts w:asciiTheme="minorEastAsia" w:hAnsiTheme="minorEastAsia"/>
                <w:szCs w:val="21"/>
              </w:rPr>
            </w:pPr>
            <w:r>
              <w:rPr>
                <w:rFonts w:asciiTheme="minorEastAsia" w:hAnsiTheme="minorEastAsia"/>
                <w:szCs w:val="21"/>
              </w:rPr>
              <w:t>答</w:t>
            </w:r>
            <w:r>
              <w:rPr>
                <w:rFonts w:hint="eastAsia" w:asciiTheme="minorEastAsia" w:hAnsiTheme="minorEastAsia"/>
                <w:szCs w:val="21"/>
              </w:rPr>
              <w:t>：</w:t>
            </w:r>
            <w:r>
              <w:rPr>
                <w:rFonts w:asciiTheme="minorEastAsia" w:hAnsiTheme="minorEastAsia"/>
                <w:szCs w:val="21"/>
              </w:rPr>
              <w:t>轻量化</w:t>
            </w:r>
            <w:r>
              <w:rPr>
                <w:rFonts w:hint="eastAsia" w:asciiTheme="minorEastAsia" w:hAnsiTheme="minorEastAsia"/>
                <w:szCs w:val="21"/>
              </w:rPr>
              <w:t>、</w:t>
            </w:r>
            <w:r>
              <w:rPr>
                <w:rFonts w:asciiTheme="minorEastAsia" w:hAnsiTheme="minorEastAsia"/>
                <w:szCs w:val="21"/>
              </w:rPr>
              <w:t>可回收和环保性</w:t>
            </w:r>
            <w:r>
              <w:rPr>
                <w:rFonts w:hint="eastAsia" w:asciiTheme="minorEastAsia" w:hAnsiTheme="minorEastAsia"/>
                <w:szCs w:val="21"/>
              </w:rPr>
              <w:t>。相比传统橡胶，TPV具有轻量化、无气味高性能绿色可回收；低加工耗和重复加工的特性。同时综合成本与传统橡胶相差无几，因此价比很高。</w:t>
            </w:r>
          </w:p>
          <w:p>
            <w:pPr>
              <w:keepNext w:val="0"/>
              <w:keepLines w:val="0"/>
              <w:pageBreakBefore w:val="0"/>
              <w:widowControl w:val="0"/>
              <w:kinsoku/>
              <w:wordWrap/>
              <w:overflowPunct/>
              <w:topLinePunct w:val="0"/>
              <w:autoSpaceDE/>
              <w:autoSpaceDN/>
              <w:bidi w:val="0"/>
              <w:adjustRightInd/>
              <w:snapToGrid/>
              <w:spacing w:line="440" w:lineRule="exact"/>
              <w:ind w:firstLine="440"/>
              <w:textAlignment w:val="auto"/>
              <w:rPr>
                <w:rFonts w:asciiTheme="minorEastAsia" w:hAnsiTheme="minorEastAsia"/>
                <w:b/>
                <w:szCs w:val="21"/>
              </w:rPr>
            </w:pPr>
            <w:r>
              <w:rPr>
                <w:rFonts w:asciiTheme="minorEastAsia" w:hAnsiTheme="minorEastAsia"/>
                <w:b/>
                <w:szCs w:val="21"/>
              </w:rPr>
              <w:t>3</w:t>
            </w:r>
            <w:r>
              <w:rPr>
                <w:rFonts w:hint="eastAsia" w:asciiTheme="minorEastAsia" w:hAnsiTheme="minorEastAsia"/>
                <w:b/>
                <w:szCs w:val="21"/>
              </w:rPr>
              <w:t>.DVA进展情况</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Calibri" w:hAnsi="Calibri"/>
                <w:szCs w:val="22"/>
              </w:rPr>
            </w:pPr>
            <w:r>
              <w:rPr>
                <w:rFonts w:hint="eastAsia" w:ascii="Calibri" w:hAnsi="Calibri"/>
                <w:szCs w:val="22"/>
              </w:rPr>
              <w:t>答：公司</w:t>
            </w:r>
            <w:r>
              <w:rPr>
                <w:rFonts w:ascii="Calibri" w:hAnsi="Calibri"/>
                <w:szCs w:val="22"/>
              </w:rPr>
              <w:t>已在DVA技术上获得突破进展，开发了反应增容-预分散动态硫化工艺制备新工艺，设计了专用双螺杆反应器，开发了轮胎气密层用DVA超薄片材的挤出流延成型技术。</w:t>
            </w:r>
            <w:r>
              <w:rPr>
                <w:rFonts w:hint="eastAsia" w:ascii="Calibri" w:hAnsi="Calibri"/>
                <w:szCs w:val="22"/>
              </w:rPr>
              <w:t>合作伙伴有三角轮胎和中策轮胎，三角主要是技术协议，中策有技术和商务协议。</w:t>
            </w:r>
          </w:p>
          <w:p>
            <w:pPr>
              <w:keepNext w:val="0"/>
              <w:keepLines w:val="0"/>
              <w:pageBreakBefore w:val="0"/>
              <w:widowControl w:val="0"/>
              <w:kinsoku/>
              <w:wordWrap/>
              <w:overflowPunct/>
              <w:topLinePunct w:val="0"/>
              <w:autoSpaceDE/>
              <w:autoSpaceDN/>
              <w:bidi w:val="0"/>
              <w:adjustRightInd/>
              <w:snapToGrid/>
              <w:spacing w:line="440" w:lineRule="exact"/>
              <w:ind w:firstLine="440"/>
              <w:textAlignment w:val="auto"/>
              <w:rPr>
                <w:rFonts w:hint="eastAsia" w:asciiTheme="minorEastAsia" w:hAnsiTheme="minorEastAsia"/>
                <w:szCs w:val="21"/>
              </w:rPr>
            </w:pPr>
            <w:r>
              <w:rPr>
                <w:rFonts w:hint="eastAsia" w:asciiTheme="minorEastAsia" w:hAnsiTheme="minorEastAsia"/>
                <w:szCs w:val="21"/>
              </w:rPr>
              <w:t>目前DVA在三角轮胎项目路跑试验中，中策橡胶的新型自行车胎也在开发中，预计2019年二季度出结果。之后先为自行车内胎建设生产线，建设周期约6个月，最快2020年初建成。</w:t>
            </w:r>
          </w:p>
          <w:p>
            <w:pPr>
              <w:keepNext w:val="0"/>
              <w:keepLines w:val="0"/>
              <w:pageBreakBefore w:val="0"/>
              <w:widowControl w:val="0"/>
              <w:kinsoku/>
              <w:wordWrap/>
              <w:overflowPunct/>
              <w:topLinePunct w:val="0"/>
              <w:autoSpaceDE/>
              <w:autoSpaceDN/>
              <w:bidi w:val="0"/>
              <w:adjustRightInd/>
              <w:snapToGrid/>
              <w:spacing w:line="440" w:lineRule="exact"/>
              <w:ind w:firstLine="440"/>
              <w:textAlignment w:val="auto"/>
              <w:rPr>
                <w:rFonts w:asciiTheme="minorEastAsia" w:hAnsiTheme="minorEastAsia"/>
                <w:b/>
                <w:szCs w:val="21"/>
              </w:rPr>
            </w:pPr>
            <w:r>
              <w:rPr>
                <w:rFonts w:hint="eastAsia" w:asciiTheme="minorEastAsia" w:hAnsiTheme="minorEastAsia"/>
                <w:b/>
                <w:szCs w:val="21"/>
              </w:rPr>
              <w:t>4．氢化丁腈项目建设进度？</w:t>
            </w:r>
          </w:p>
          <w:p>
            <w:pPr>
              <w:keepNext w:val="0"/>
              <w:keepLines w:val="0"/>
              <w:pageBreakBefore w:val="0"/>
              <w:widowControl w:val="0"/>
              <w:kinsoku/>
              <w:wordWrap/>
              <w:overflowPunct/>
              <w:topLinePunct w:val="0"/>
              <w:autoSpaceDE/>
              <w:autoSpaceDN/>
              <w:bidi w:val="0"/>
              <w:adjustRightInd/>
              <w:snapToGrid/>
              <w:spacing w:line="440" w:lineRule="exact"/>
              <w:ind w:firstLine="440"/>
              <w:textAlignment w:val="auto"/>
              <w:rPr>
                <w:rFonts w:asciiTheme="minorEastAsia" w:hAnsiTheme="minorEastAsia"/>
                <w:b/>
                <w:szCs w:val="21"/>
              </w:rPr>
            </w:pPr>
            <w:r>
              <w:rPr>
                <w:rFonts w:hint="eastAsia" w:asciiTheme="minorEastAsia" w:hAnsiTheme="minorEastAsia"/>
                <w:szCs w:val="21"/>
              </w:rPr>
              <w:t>答：</w:t>
            </w:r>
            <w:r>
              <w:rPr>
                <w:rFonts w:asciiTheme="minorEastAsia" w:hAnsiTheme="minorEastAsia"/>
                <w:szCs w:val="21"/>
              </w:rPr>
              <w:t>氢化丁</w:t>
            </w:r>
            <w:r>
              <w:rPr>
                <w:rFonts w:hint="eastAsia" w:asciiTheme="minorEastAsia" w:hAnsiTheme="minorEastAsia"/>
                <w:szCs w:val="21"/>
              </w:rPr>
              <w:t>腈</w:t>
            </w:r>
            <w:r>
              <w:rPr>
                <w:rFonts w:asciiTheme="minorEastAsia" w:hAnsiTheme="minorEastAsia"/>
                <w:szCs w:val="21"/>
              </w:rPr>
              <w:t>项目土建</w:t>
            </w:r>
            <w:r>
              <w:rPr>
                <w:rFonts w:hint="eastAsia" w:asciiTheme="minorEastAsia" w:hAnsiTheme="minorEastAsia"/>
                <w:szCs w:val="21"/>
              </w:rPr>
              <w:t>、</w:t>
            </w:r>
            <w:r>
              <w:rPr>
                <w:rFonts w:asciiTheme="minorEastAsia" w:hAnsiTheme="minorEastAsia"/>
                <w:szCs w:val="21"/>
              </w:rPr>
              <w:t>设备已完工</w:t>
            </w:r>
            <w:r>
              <w:rPr>
                <w:rFonts w:hint="eastAsia" w:asciiTheme="minorEastAsia" w:hAnsiTheme="minorEastAsia"/>
                <w:szCs w:val="21"/>
              </w:rPr>
              <w:t>，正在对所有设备进行安全检查和单机试车，为联动试车做好准备，预计2019年3月份左右进行投料联动试车。</w:t>
            </w:r>
          </w:p>
          <w:p>
            <w:pPr>
              <w:keepNext w:val="0"/>
              <w:keepLines w:val="0"/>
              <w:pageBreakBefore w:val="0"/>
              <w:widowControl w:val="0"/>
              <w:kinsoku/>
              <w:wordWrap/>
              <w:overflowPunct/>
              <w:topLinePunct w:val="0"/>
              <w:autoSpaceDE/>
              <w:autoSpaceDN/>
              <w:bidi w:val="0"/>
              <w:adjustRightInd/>
              <w:snapToGrid/>
              <w:spacing w:line="440" w:lineRule="exact"/>
              <w:ind w:firstLine="440"/>
              <w:textAlignment w:val="auto"/>
              <w:rPr>
                <w:rFonts w:asciiTheme="minorEastAsia" w:hAnsiTheme="minorEastAsia"/>
                <w:b/>
                <w:szCs w:val="21"/>
              </w:rPr>
            </w:pPr>
            <w:r>
              <w:rPr>
                <w:rFonts w:hint="eastAsia" w:asciiTheme="minorEastAsia" w:hAnsiTheme="minorEastAsia"/>
                <w:b/>
                <w:szCs w:val="21"/>
              </w:rPr>
              <w:t>5.内饰蒙皮合作情况</w:t>
            </w:r>
          </w:p>
          <w:p>
            <w:pPr>
              <w:keepNext w:val="0"/>
              <w:keepLines w:val="0"/>
              <w:pageBreakBefore w:val="0"/>
              <w:widowControl w:val="0"/>
              <w:kinsoku/>
              <w:wordWrap/>
              <w:overflowPunct/>
              <w:topLinePunct w:val="0"/>
              <w:autoSpaceDE/>
              <w:autoSpaceDN/>
              <w:bidi w:val="0"/>
              <w:adjustRightInd/>
              <w:snapToGrid/>
              <w:spacing w:line="440" w:lineRule="exact"/>
              <w:ind w:firstLine="440"/>
              <w:textAlignment w:val="auto"/>
              <w:rPr>
                <w:rFonts w:asciiTheme="minorEastAsia" w:hAnsiTheme="minorEastAsia"/>
                <w:szCs w:val="21"/>
              </w:rPr>
            </w:pPr>
            <w:r>
              <w:rPr>
                <w:rFonts w:hint="eastAsia" w:asciiTheme="minorEastAsia" w:hAnsiTheme="minorEastAsia"/>
                <w:szCs w:val="21"/>
              </w:rPr>
              <w:t xml:space="preserve">答：注塑柔性表皮（IMSS）技术是一种基于轻量化、低挥发性的有机化合物技术的热塑性弹性体解决方案，该材料具有低排放、优良的环保特性，产品更贴合汽车内饰的多样化造型要求，并且其注塑能力可比目前的搪塑氯乙烯（PVC）技术提高五倍，为汽车内饰应用领域提供一种轻量化、绿色环保、节约综合成本的创新解决方案。 </w:t>
            </w:r>
          </w:p>
          <w:p>
            <w:pPr>
              <w:keepNext w:val="0"/>
              <w:keepLines w:val="0"/>
              <w:pageBreakBefore w:val="0"/>
              <w:widowControl w:val="0"/>
              <w:kinsoku/>
              <w:wordWrap/>
              <w:overflowPunct/>
              <w:topLinePunct w:val="0"/>
              <w:autoSpaceDE/>
              <w:autoSpaceDN/>
              <w:bidi w:val="0"/>
              <w:adjustRightInd/>
              <w:snapToGrid/>
              <w:spacing w:line="440" w:lineRule="exact"/>
              <w:ind w:firstLine="440"/>
              <w:textAlignment w:val="auto"/>
              <w:rPr>
                <w:rFonts w:hint="eastAsia" w:asciiTheme="minorEastAsia" w:hAnsiTheme="minorEastAsia"/>
                <w:szCs w:val="21"/>
              </w:rPr>
            </w:pPr>
            <w:r>
              <w:rPr>
                <w:rFonts w:hint="eastAsia" w:asciiTheme="minorEastAsia" w:hAnsiTheme="minorEastAsia"/>
                <w:szCs w:val="21"/>
              </w:rPr>
              <w:t>2019年1月23日，公司和科腾高性能聚合物公司（以下简称“科腾”）签署了《供应协议与许可》。协议约定，科腾无偿授权道恩股份使用汽车内饰注塑柔性表皮的新型热塑性弹性体生产技术(IMSS)，同时道恩股份向科腾采购生产该弹性体材料所需的聚合物产品之一（苯乙烯弹性体）。道恩股份将在科腾许可技术的基础上进行技术改进，生产出满足中国市场需求的汽车内饰注塑柔性表皮的专用热塑性弹性体材料并销售。</w:t>
            </w:r>
          </w:p>
          <w:p>
            <w:pPr>
              <w:keepNext w:val="0"/>
              <w:keepLines w:val="0"/>
              <w:pageBreakBefore w:val="0"/>
              <w:widowControl w:val="0"/>
              <w:kinsoku/>
              <w:wordWrap/>
              <w:overflowPunct/>
              <w:topLinePunct w:val="0"/>
              <w:autoSpaceDE/>
              <w:autoSpaceDN/>
              <w:bidi w:val="0"/>
              <w:adjustRightInd/>
              <w:snapToGrid/>
              <w:spacing w:line="440" w:lineRule="exact"/>
              <w:ind w:firstLine="440"/>
              <w:textAlignment w:val="auto"/>
              <w:rPr>
                <w:rFonts w:asciiTheme="minorEastAsia" w:hAnsiTheme="minorEastAsia"/>
                <w:b/>
                <w:szCs w:val="21"/>
              </w:rPr>
            </w:pPr>
            <w:r>
              <w:rPr>
                <w:rFonts w:hint="eastAsia" w:asciiTheme="minorEastAsia" w:hAnsiTheme="minorEastAsia"/>
                <w:b/>
                <w:szCs w:val="21"/>
              </w:rPr>
              <w:t>6.</w:t>
            </w:r>
            <w:r>
              <w:rPr>
                <w:rFonts w:asciiTheme="minorEastAsia" w:hAnsiTheme="minorEastAsia"/>
                <w:b/>
                <w:szCs w:val="21"/>
              </w:rPr>
              <w:t>汽车销量下滑</w:t>
            </w:r>
            <w:r>
              <w:rPr>
                <w:rFonts w:hint="eastAsia" w:asciiTheme="minorEastAsia" w:hAnsiTheme="minorEastAsia"/>
                <w:b/>
                <w:szCs w:val="21"/>
              </w:rPr>
              <w:t>对公司影响？</w:t>
            </w:r>
          </w:p>
          <w:p>
            <w:pPr>
              <w:keepNext w:val="0"/>
              <w:keepLines w:val="0"/>
              <w:pageBreakBefore w:val="0"/>
              <w:widowControl w:val="0"/>
              <w:kinsoku/>
              <w:wordWrap/>
              <w:overflowPunct/>
              <w:topLinePunct w:val="0"/>
              <w:autoSpaceDE/>
              <w:autoSpaceDN/>
              <w:bidi w:val="0"/>
              <w:adjustRightInd/>
              <w:snapToGrid/>
              <w:spacing w:line="440" w:lineRule="exact"/>
              <w:ind w:firstLine="440"/>
              <w:textAlignment w:val="auto"/>
              <w:rPr>
                <w:rFonts w:asciiTheme="minorEastAsia" w:hAnsiTheme="minorEastAsia"/>
                <w:szCs w:val="21"/>
              </w:rPr>
            </w:pPr>
            <w:r>
              <w:rPr>
                <w:rFonts w:asciiTheme="minorEastAsia" w:hAnsiTheme="minorEastAsia"/>
                <w:szCs w:val="21"/>
              </w:rPr>
              <w:t>答</w:t>
            </w:r>
            <w:r>
              <w:rPr>
                <w:rFonts w:hint="eastAsia" w:asciiTheme="minorEastAsia" w:hAnsiTheme="minorEastAsia"/>
                <w:szCs w:val="21"/>
              </w:rPr>
              <w:t>：</w:t>
            </w:r>
            <w:r>
              <w:rPr>
                <w:rFonts w:asciiTheme="minorEastAsia" w:hAnsiTheme="minorEastAsia"/>
                <w:szCs w:val="21"/>
              </w:rPr>
              <w:t>近期汽车销量下滑对公司会有一定的影响</w:t>
            </w:r>
            <w:r>
              <w:rPr>
                <w:rFonts w:hint="eastAsia" w:asciiTheme="minorEastAsia" w:hAnsiTheme="minorEastAsia"/>
                <w:szCs w:val="21"/>
              </w:rPr>
              <w:t>，</w:t>
            </w:r>
            <w:r>
              <w:rPr>
                <w:rFonts w:asciiTheme="minorEastAsia" w:hAnsiTheme="minorEastAsia"/>
                <w:szCs w:val="21"/>
              </w:rPr>
              <w:t>但影响不大</w:t>
            </w:r>
            <w:r>
              <w:rPr>
                <w:rFonts w:hint="eastAsia" w:asciiTheme="minorEastAsia" w:hAnsiTheme="minorEastAsia"/>
                <w:szCs w:val="21"/>
              </w:rPr>
              <w:t>。</w:t>
            </w:r>
            <w:r>
              <w:rPr>
                <w:rFonts w:asciiTheme="minorEastAsia" w:hAnsiTheme="minorEastAsia"/>
                <w:szCs w:val="21"/>
              </w:rPr>
              <w:t>公司内部多次研究讨论制定了应对方案</w:t>
            </w:r>
            <w:r>
              <w:rPr>
                <w:rFonts w:hint="eastAsia" w:asciiTheme="minorEastAsia" w:hAnsiTheme="minorEastAsia"/>
                <w:szCs w:val="21"/>
              </w:rPr>
              <w:t>，采取加强内部管理，减本增效，实施技术升级，拓展非汽车领域产品等措施应对汽车销量下滑的影响。同时积极关注国家促进消费升级的政策，响应国家政策，提前跟踪布局。</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asciiTheme="minorEastAsia" w:hAnsiTheme="minorEastAsia"/>
                <w:b/>
                <w:szCs w:val="21"/>
              </w:rPr>
            </w:pPr>
            <w:r>
              <w:rPr>
                <w:rFonts w:asciiTheme="minorEastAsia" w:hAnsiTheme="minorEastAsia"/>
                <w:b/>
                <w:szCs w:val="21"/>
              </w:rPr>
              <w:t>7</w:t>
            </w:r>
            <w:r>
              <w:rPr>
                <w:rFonts w:hint="eastAsia" w:asciiTheme="minorEastAsia" w:hAnsiTheme="minorEastAsia"/>
                <w:b/>
                <w:szCs w:val="21"/>
              </w:rPr>
              <w:t>．</w:t>
            </w:r>
            <w:r>
              <w:rPr>
                <w:rFonts w:asciiTheme="minorEastAsia" w:hAnsiTheme="minorEastAsia"/>
                <w:b/>
                <w:szCs w:val="21"/>
              </w:rPr>
              <w:t>未来公司有哪些方面规划</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szCs w:val="21"/>
              </w:rPr>
            </w:pPr>
            <w:r>
              <w:rPr>
                <w:rFonts w:asciiTheme="minorEastAsia" w:hAnsiTheme="minorEastAsia"/>
                <w:szCs w:val="21"/>
              </w:rPr>
              <w:t>答</w:t>
            </w:r>
            <w:r>
              <w:rPr>
                <w:rFonts w:hint="eastAsia" w:asciiTheme="minorEastAsia" w:hAnsiTheme="minorEastAsia"/>
                <w:szCs w:val="21"/>
              </w:rPr>
              <w:t>：深耕弹性体三大平台（硫化平台、酯化平台、氢化平台），采用产学研模块化开发，加速新技术研发---产业化---商业化进程；</w:t>
            </w:r>
            <w:r>
              <w:rPr>
                <w:rFonts w:asciiTheme="minorEastAsia" w:hAnsiTheme="minorEastAsia"/>
                <w:szCs w:val="21"/>
              </w:rPr>
              <w:t>改性塑料通过外延手段快速做强做大</w:t>
            </w:r>
            <w:r>
              <w:rPr>
                <w:rFonts w:hint="eastAsia" w:asciiTheme="minorEastAsia" w:hAnsiTheme="minorEastAsia"/>
                <w:szCs w:val="21"/>
              </w:rPr>
              <w:t>，使公司成为有技术、有特色的、有竞争力的绿色复合材料公司。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8" w:type="dxa"/>
            <w:vAlign w:val="center"/>
          </w:tcPr>
          <w:p>
            <w:pPr>
              <w:rPr>
                <w:b/>
              </w:rPr>
            </w:pPr>
            <w:r>
              <w:rPr>
                <w:rFonts w:hint="eastAsia"/>
                <w:b/>
              </w:rPr>
              <w:t>附件清单</w:t>
            </w:r>
          </w:p>
        </w:tc>
        <w:tc>
          <w:tcPr>
            <w:tcW w:w="6946" w:type="dxa"/>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18" w:type="dxa"/>
            <w:vAlign w:val="center"/>
          </w:tcPr>
          <w:p>
            <w:pPr>
              <w:rPr>
                <w:b/>
              </w:rPr>
            </w:pPr>
            <w:r>
              <w:rPr>
                <w:rFonts w:hint="eastAsia"/>
                <w:b/>
              </w:rPr>
              <w:t>日期</w:t>
            </w:r>
          </w:p>
        </w:tc>
        <w:tc>
          <w:tcPr>
            <w:tcW w:w="6946" w:type="dxa"/>
            <w:vAlign w:val="center"/>
          </w:tcPr>
          <w:p>
            <w:r>
              <w:rPr>
                <w:rFonts w:hint="eastAsia"/>
              </w:rPr>
              <w:t>2019年1月29日</w:t>
            </w:r>
          </w:p>
        </w:tc>
      </w:tr>
    </w:tbl>
    <w:p>
      <w:pPr>
        <w:spacing w:line="360" w:lineRule="auto"/>
        <w:rPr>
          <w:rFonts w:asciiTheme="minorEastAsia" w:hAnsiTheme="minorEastAsia" w:eastAsiaTheme="minorEastAsia"/>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88" w:lineRule="auto"/>
      <w:jc w:val="right"/>
    </w:pPr>
    <w:r>
      <w:rPr>
        <w:rFonts w:hint="eastAsia"/>
      </w:rPr>
      <w:t>道恩股份</w:t>
    </w:r>
    <w:r>
      <w:rPr>
        <w:rFonts w:hint="eastAsia" w:ascii="宋体" w:hAnsi="宋体"/>
        <w:bCs/>
        <w:iCs/>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0505"/>
    <w:rsid w:val="0000166A"/>
    <w:rsid w:val="00011B0E"/>
    <w:rsid w:val="00027737"/>
    <w:rsid w:val="00040D0C"/>
    <w:rsid w:val="000663D1"/>
    <w:rsid w:val="000808E8"/>
    <w:rsid w:val="000866D4"/>
    <w:rsid w:val="000A22FE"/>
    <w:rsid w:val="000A74CE"/>
    <w:rsid w:val="000B0F1F"/>
    <w:rsid w:val="000C1174"/>
    <w:rsid w:val="000C61A1"/>
    <w:rsid w:val="000E7B47"/>
    <w:rsid w:val="000F2BA8"/>
    <w:rsid w:val="001053C7"/>
    <w:rsid w:val="0011517E"/>
    <w:rsid w:val="00115A56"/>
    <w:rsid w:val="00122DF2"/>
    <w:rsid w:val="00124018"/>
    <w:rsid w:val="00131991"/>
    <w:rsid w:val="00143D43"/>
    <w:rsid w:val="0016505A"/>
    <w:rsid w:val="00165C08"/>
    <w:rsid w:val="00167B8D"/>
    <w:rsid w:val="00173593"/>
    <w:rsid w:val="0018021E"/>
    <w:rsid w:val="00186C36"/>
    <w:rsid w:val="001A30B4"/>
    <w:rsid w:val="001B0304"/>
    <w:rsid w:val="001B4164"/>
    <w:rsid w:val="001E3228"/>
    <w:rsid w:val="001E73AE"/>
    <w:rsid w:val="001F1CB5"/>
    <w:rsid w:val="001F7655"/>
    <w:rsid w:val="00245A8B"/>
    <w:rsid w:val="002469C4"/>
    <w:rsid w:val="00247A2A"/>
    <w:rsid w:val="00256D4F"/>
    <w:rsid w:val="002655B2"/>
    <w:rsid w:val="00273EC0"/>
    <w:rsid w:val="0028010E"/>
    <w:rsid w:val="002876E8"/>
    <w:rsid w:val="002A4842"/>
    <w:rsid w:val="002B1637"/>
    <w:rsid w:val="002B332B"/>
    <w:rsid w:val="002B5175"/>
    <w:rsid w:val="002B5D7B"/>
    <w:rsid w:val="002C1FE9"/>
    <w:rsid w:val="002C2FE1"/>
    <w:rsid w:val="002D2964"/>
    <w:rsid w:val="002D43C5"/>
    <w:rsid w:val="002E0D8B"/>
    <w:rsid w:val="002F742A"/>
    <w:rsid w:val="0030143A"/>
    <w:rsid w:val="003051AC"/>
    <w:rsid w:val="00314A88"/>
    <w:rsid w:val="00317F7E"/>
    <w:rsid w:val="0032514C"/>
    <w:rsid w:val="00325EB2"/>
    <w:rsid w:val="00330B69"/>
    <w:rsid w:val="00330D9D"/>
    <w:rsid w:val="003465F7"/>
    <w:rsid w:val="00351F94"/>
    <w:rsid w:val="0035270F"/>
    <w:rsid w:val="003A03A0"/>
    <w:rsid w:val="003A3515"/>
    <w:rsid w:val="003A4C2C"/>
    <w:rsid w:val="003B0F1C"/>
    <w:rsid w:val="003B2DBB"/>
    <w:rsid w:val="003C1023"/>
    <w:rsid w:val="003C44DD"/>
    <w:rsid w:val="003E00A1"/>
    <w:rsid w:val="003E19AC"/>
    <w:rsid w:val="003F6659"/>
    <w:rsid w:val="00400A36"/>
    <w:rsid w:val="00402753"/>
    <w:rsid w:val="00405B3C"/>
    <w:rsid w:val="0043291B"/>
    <w:rsid w:val="00433963"/>
    <w:rsid w:val="004362EB"/>
    <w:rsid w:val="00442C10"/>
    <w:rsid w:val="00452F05"/>
    <w:rsid w:val="00457877"/>
    <w:rsid w:val="0046341B"/>
    <w:rsid w:val="00485FD5"/>
    <w:rsid w:val="00493AFF"/>
    <w:rsid w:val="00495EC9"/>
    <w:rsid w:val="004A0C34"/>
    <w:rsid w:val="004A68B2"/>
    <w:rsid w:val="004B5787"/>
    <w:rsid w:val="004B74DC"/>
    <w:rsid w:val="004D3249"/>
    <w:rsid w:val="004E344A"/>
    <w:rsid w:val="004F0F63"/>
    <w:rsid w:val="004F3AD7"/>
    <w:rsid w:val="00501384"/>
    <w:rsid w:val="005030F3"/>
    <w:rsid w:val="00505D27"/>
    <w:rsid w:val="005117FA"/>
    <w:rsid w:val="00514578"/>
    <w:rsid w:val="00520A2C"/>
    <w:rsid w:val="005429C6"/>
    <w:rsid w:val="00555F5F"/>
    <w:rsid w:val="005636CA"/>
    <w:rsid w:val="005673C5"/>
    <w:rsid w:val="005828FC"/>
    <w:rsid w:val="00585562"/>
    <w:rsid w:val="00592FFB"/>
    <w:rsid w:val="005A1F3B"/>
    <w:rsid w:val="005C6B33"/>
    <w:rsid w:val="005D41E6"/>
    <w:rsid w:val="00600649"/>
    <w:rsid w:val="00617E81"/>
    <w:rsid w:val="006207BD"/>
    <w:rsid w:val="0067134D"/>
    <w:rsid w:val="00680B07"/>
    <w:rsid w:val="006848F2"/>
    <w:rsid w:val="006C271F"/>
    <w:rsid w:val="006C50E9"/>
    <w:rsid w:val="006D2632"/>
    <w:rsid w:val="006E353F"/>
    <w:rsid w:val="006F27E2"/>
    <w:rsid w:val="00701CEF"/>
    <w:rsid w:val="00705DCF"/>
    <w:rsid w:val="0072047F"/>
    <w:rsid w:val="0072635D"/>
    <w:rsid w:val="00737E7C"/>
    <w:rsid w:val="0075081C"/>
    <w:rsid w:val="00753E47"/>
    <w:rsid w:val="00754135"/>
    <w:rsid w:val="00755A40"/>
    <w:rsid w:val="00786B59"/>
    <w:rsid w:val="007947AB"/>
    <w:rsid w:val="007A15EA"/>
    <w:rsid w:val="007A700C"/>
    <w:rsid w:val="007B6469"/>
    <w:rsid w:val="007C4978"/>
    <w:rsid w:val="007E24DE"/>
    <w:rsid w:val="008054E4"/>
    <w:rsid w:val="00812CFF"/>
    <w:rsid w:val="00817814"/>
    <w:rsid w:val="00822AEE"/>
    <w:rsid w:val="00841785"/>
    <w:rsid w:val="00861E4F"/>
    <w:rsid w:val="008818E9"/>
    <w:rsid w:val="00886F74"/>
    <w:rsid w:val="0089001E"/>
    <w:rsid w:val="00897D17"/>
    <w:rsid w:val="008A6E6F"/>
    <w:rsid w:val="008B1880"/>
    <w:rsid w:val="008C3AAC"/>
    <w:rsid w:val="008D309B"/>
    <w:rsid w:val="008F76FC"/>
    <w:rsid w:val="00925CC4"/>
    <w:rsid w:val="00934468"/>
    <w:rsid w:val="00957DCC"/>
    <w:rsid w:val="00965794"/>
    <w:rsid w:val="0097342D"/>
    <w:rsid w:val="00985A4C"/>
    <w:rsid w:val="00986155"/>
    <w:rsid w:val="009968C6"/>
    <w:rsid w:val="00997105"/>
    <w:rsid w:val="009A54B9"/>
    <w:rsid w:val="009C2EA5"/>
    <w:rsid w:val="009D10EB"/>
    <w:rsid w:val="009D42EE"/>
    <w:rsid w:val="009D71D7"/>
    <w:rsid w:val="00A0213C"/>
    <w:rsid w:val="00A266E4"/>
    <w:rsid w:val="00A3233A"/>
    <w:rsid w:val="00A43F1B"/>
    <w:rsid w:val="00A64169"/>
    <w:rsid w:val="00AA7DDC"/>
    <w:rsid w:val="00AB01D1"/>
    <w:rsid w:val="00AB0E0E"/>
    <w:rsid w:val="00AB6624"/>
    <w:rsid w:val="00AE22B9"/>
    <w:rsid w:val="00AE3079"/>
    <w:rsid w:val="00AF3815"/>
    <w:rsid w:val="00AF6620"/>
    <w:rsid w:val="00B05F45"/>
    <w:rsid w:val="00B10CB2"/>
    <w:rsid w:val="00B32444"/>
    <w:rsid w:val="00B351DF"/>
    <w:rsid w:val="00B36D6B"/>
    <w:rsid w:val="00B37BFB"/>
    <w:rsid w:val="00B47F0B"/>
    <w:rsid w:val="00B52A69"/>
    <w:rsid w:val="00B630AB"/>
    <w:rsid w:val="00B63240"/>
    <w:rsid w:val="00B63A00"/>
    <w:rsid w:val="00B84546"/>
    <w:rsid w:val="00B92A4A"/>
    <w:rsid w:val="00BB1B75"/>
    <w:rsid w:val="00BB2C9D"/>
    <w:rsid w:val="00BD5089"/>
    <w:rsid w:val="00BD71CC"/>
    <w:rsid w:val="00BE3E3C"/>
    <w:rsid w:val="00BE64CC"/>
    <w:rsid w:val="00BE7419"/>
    <w:rsid w:val="00BF153F"/>
    <w:rsid w:val="00BF3380"/>
    <w:rsid w:val="00BF3694"/>
    <w:rsid w:val="00C01DF5"/>
    <w:rsid w:val="00C11919"/>
    <w:rsid w:val="00C30505"/>
    <w:rsid w:val="00C317CF"/>
    <w:rsid w:val="00C32269"/>
    <w:rsid w:val="00C81C8C"/>
    <w:rsid w:val="00CA175E"/>
    <w:rsid w:val="00CA19A1"/>
    <w:rsid w:val="00CD0CD1"/>
    <w:rsid w:val="00CF2014"/>
    <w:rsid w:val="00D15BC4"/>
    <w:rsid w:val="00D17ED8"/>
    <w:rsid w:val="00D22B67"/>
    <w:rsid w:val="00D44DBC"/>
    <w:rsid w:val="00D46D06"/>
    <w:rsid w:val="00D52FD9"/>
    <w:rsid w:val="00D60456"/>
    <w:rsid w:val="00D7715F"/>
    <w:rsid w:val="00D80B4D"/>
    <w:rsid w:val="00DB035B"/>
    <w:rsid w:val="00DB0CFE"/>
    <w:rsid w:val="00DF574C"/>
    <w:rsid w:val="00DF79B2"/>
    <w:rsid w:val="00E01F36"/>
    <w:rsid w:val="00E37A3A"/>
    <w:rsid w:val="00E50710"/>
    <w:rsid w:val="00E606D9"/>
    <w:rsid w:val="00EA07E4"/>
    <w:rsid w:val="00EA4857"/>
    <w:rsid w:val="00ED6AE1"/>
    <w:rsid w:val="00F32728"/>
    <w:rsid w:val="00F33A64"/>
    <w:rsid w:val="00F57347"/>
    <w:rsid w:val="00F621C1"/>
    <w:rsid w:val="00F923AA"/>
    <w:rsid w:val="00FA1D00"/>
    <w:rsid w:val="00FD30D4"/>
    <w:rsid w:val="00FE4859"/>
    <w:rsid w:val="00FE798A"/>
    <w:rsid w:val="00FF3B71"/>
    <w:rsid w:val="061479C0"/>
    <w:rsid w:val="06D2758B"/>
    <w:rsid w:val="0B351086"/>
    <w:rsid w:val="0F051A54"/>
    <w:rsid w:val="129E26CB"/>
    <w:rsid w:val="153B4590"/>
    <w:rsid w:val="1CF45635"/>
    <w:rsid w:val="1FF4487B"/>
    <w:rsid w:val="228009F3"/>
    <w:rsid w:val="24A5302A"/>
    <w:rsid w:val="262609C7"/>
    <w:rsid w:val="286C7521"/>
    <w:rsid w:val="2D710265"/>
    <w:rsid w:val="308F43B2"/>
    <w:rsid w:val="375F6524"/>
    <w:rsid w:val="3BD50726"/>
    <w:rsid w:val="3E6A67EE"/>
    <w:rsid w:val="40623C5D"/>
    <w:rsid w:val="466442CB"/>
    <w:rsid w:val="4A265488"/>
    <w:rsid w:val="501C31B4"/>
    <w:rsid w:val="597B4FAB"/>
    <w:rsid w:val="59B148D4"/>
    <w:rsid w:val="65EB76E6"/>
    <w:rsid w:val="6AFC1FEB"/>
    <w:rsid w:val="6F026E52"/>
    <w:rsid w:val="712B124B"/>
    <w:rsid w:val="727B07D2"/>
    <w:rsid w:val="75DA33D9"/>
    <w:rsid w:val="7A2226FC"/>
    <w:rsid w:val="7A4E567E"/>
    <w:rsid w:val="7B9F2BC8"/>
    <w:rsid w:val="7D4F11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99"/>
    <w:rPr>
      <w:b/>
      <w:bCs/>
    </w:rPr>
  </w:style>
  <w:style w:type="paragraph" w:styleId="3">
    <w:name w:val="annotation text"/>
    <w:basedOn w:val="1"/>
    <w:link w:val="14"/>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table" w:styleId="10">
    <w:name w:val="Table Grid"/>
    <w:basedOn w:val="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character" w:customStyle="1" w:styleId="13">
    <w:name w:val="批注框文本 Char"/>
    <w:basedOn w:val="7"/>
    <w:link w:val="4"/>
    <w:semiHidden/>
    <w:qFormat/>
    <w:uiPriority w:val="99"/>
    <w:rPr>
      <w:rFonts w:ascii="Times New Roman" w:hAnsi="Times New Roman"/>
      <w:kern w:val="2"/>
      <w:sz w:val="18"/>
      <w:szCs w:val="18"/>
    </w:rPr>
  </w:style>
  <w:style w:type="character" w:customStyle="1" w:styleId="14">
    <w:name w:val="批注文字 Char"/>
    <w:basedOn w:val="7"/>
    <w:link w:val="3"/>
    <w:semiHidden/>
    <w:qFormat/>
    <w:uiPriority w:val="99"/>
    <w:rPr>
      <w:rFonts w:ascii="Times New Roman" w:hAnsi="Times New Roman"/>
      <w:kern w:val="2"/>
      <w:sz w:val="21"/>
    </w:rPr>
  </w:style>
  <w:style w:type="character" w:customStyle="1" w:styleId="15">
    <w:name w:val="批注主题 Char"/>
    <w:basedOn w:val="14"/>
    <w:link w:val="2"/>
    <w:semiHidden/>
    <w:qFormat/>
    <w:uiPriority w:val="99"/>
    <w:rPr>
      <w:rFonts w:ascii="Times New Roman" w:hAnsi="Times New Roman"/>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Desktop\&#25237;&#36164;&#32773;&#20851;&#31995;&#27963;&#21160;&#35760;&#24405;&#34920;&#65288;&#27169;&#264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E1A66E-619C-422C-95DB-7E741B522264}">
  <ds:schemaRefs/>
</ds:datastoreItem>
</file>

<file path=docProps/app.xml><?xml version="1.0" encoding="utf-8"?>
<Properties xmlns="http://schemas.openxmlformats.org/officeDocument/2006/extended-properties" xmlns:vt="http://schemas.openxmlformats.org/officeDocument/2006/docPropsVTypes">
  <Template>投资者关系活动记录表（模板）</Template>
  <Company>topway</Company>
  <Pages>4</Pages>
  <Words>337</Words>
  <Characters>1925</Characters>
  <Lines>16</Lines>
  <Paragraphs>4</Paragraphs>
  <TotalTime>55</TotalTime>
  <ScaleCrop>false</ScaleCrop>
  <LinksUpToDate>false</LinksUpToDate>
  <CharactersWithSpaces>2258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2018-06-29T07:59:00Z</dcterms:created>
  <dc:creator>yuhui</dc:creator>
  <cp:lastModifiedBy>sunshine</cp:lastModifiedBy>
  <cp:lastPrinted>2018-06-29T07:59:00Z</cp:lastPrinted>
  <dcterms:modified xsi:type="dcterms:W3CDTF">2019-01-29T07:00:04Z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