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F" w:rsidRPr="00343EAA" w:rsidRDefault="00C45CEF" w:rsidP="00532468">
      <w:pPr>
        <w:spacing w:beforeLines="50" w:before="156" w:afterLines="50" w:after="156" w:line="400" w:lineRule="exact"/>
        <w:jc w:val="left"/>
        <w:rPr>
          <w:bCs/>
          <w:iCs/>
          <w:sz w:val="24"/>
        </w:rPr>
      </w:pPr>
      <w:r w:rsidRPr="00343EAA">
        <w:rPr>
          <w:bCs/>
          <w:iCs/>
          <w:sz w:val="24"/>
        </w:rPr>
        <w:t>证券代码：</w:t>
      </w:r>
      <w:r w:rsidRPr="00343EAA">
        <w:rPr>
          <w:bCs/>
          <w:iCs/>
          <w:sz w:val="24"/>
        </w:rPr>
        <w:t xml:space="preserve">002311                                   </w:t>
      </w:r>
      <w:r w:rsidRPr="00343EAA">
        <w:rPr>
          <w:bCs/>
          <w:iCs/>
          <w:sz w:val="24"/>
        </w:rPr>
        <w:t>证券简称：海大集团</w:t>
      </w:r>
    </w:p>
    <w:p w:rsidR="00C45CEF" w:rsidRPr="00343EAA" w:rsidRDefault="00C45CEF" w:rsidP="00C45CEF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</w:p>
    <w:p w:rsidR="00C45CEF" w:rsidRPr="00343EAA" w:rsidRDefault="00C45CEF" w:rsidP="00C45CEF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343EAA">
        <w:rPr>
          <w:b/>
          <w:bCs/>
          <w:iCs/>
          <w:sz w:val="24"/>
          <w:szCs w:val="24"/>
        </w:rPr>
        <w:t>广东海大集团股份有限公司投资者关系活动记录表</w:t>
      </w:r>
    </w:p>
    <w:p w:rsidR="00C45CEF" w:rsidRPr="00343EAA" w:rsidRDefault="00C45CEF" w:rsidP="003F320F">
      <w:pPr>
        <w:spacing w:line="400" w:lineRule="exact"/>
        <w:jc w:val="right"/>
        <w:rPr>
          <w:bCs/>
          <w:iCs/>
          <w:sz w:val="24"/>
          <w:szCs w:val="24"/>
        </w:rPr>
      </w:pPr>
      <w:r w:rsidRPr="00343EAA">
        <w:rPr>
          <w:bCs/>
          <w:iCs/>
          <w:sz w:val="24"/>
          <w:szCs w:val="24"/>
        </w:rPr>
        <w:t>编号：</w:t>
      </w:r>
      <w:r w:rsidR="00AF29A9">
        <w:rPr>
          <w:bCs/>
          <w:iCs/>
          <w:sz w:val="24"/>
          <w:szCs w:val="24"/>
        </w:rPr>
        <w:t>201</w:t>
      </w:r>
      <w:r w:rsidR="00AF29A9">
        <w:rPr>
          <w:rFonts w:hint="eastAsia"/>
          <w:bCs/>
          <w:iCs/>
          <w:sz w:val="24"/>
          <w:szCs w:val="24"/>
        </w:rPr>
        <w:t>9</w:t>
      </w:r>
      <w:r w:rsidR="00B36D5B">
        <w:rPr>
          <w:bCs/>
          <w:iCs/>
          <w:sz w:val="24"/>
          <w:szCs w:val="24"/>
        </w:rPr>
        <w:t>-00</w:t>
      </w:r>
      <w:r w:rsidR="00AF29A9">
        <w:rPr>
          <w:rFonts w:hint="eastAsia"/>
          <w:bCs/>
          <w:iCs/>
          <w:sz w:val="24"/>
          <w:szCs w:val="24"/>
        </w:rPr>
        <w:t>1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090"/>
      </w:tblGrid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AF29A9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特定对象调研</w:t>
            </w:r>
            <w:r w:rsidR="00C45CEF" w:rsidRPr="00343EAA">
              <w:rPr>
                <w:sz w:val="24"/>
                <w:szCs w:val="24"/>
              </w:rPr>
              <w:t xml:space="preserve">        </w:t>
            </w:r>
            <w:r w:rsidR="00C45CEF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分析师会议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媒体采访</w:t>
            </w:r>
            <w:r w:rsidRPr="00343EAA">
              <w:rPr>
                <w:sz w:val="24"/>
                <w:szCs w:val="24"/>
              </w:rPr>
              <w:t xml:space="preserve">            </w:t>
            </w:r>
            <w:r w:rsidR="00AF29A9" w:rsidRPr="00895776">
              <w:rPr>
                <w:rFonts w:ascii="Wingdings 2" w:eastAsiaTheme="minorEastAsia" w:hAnsi="Wingdings 2"/>
                <w:bCs/>
                <w:iCs/>
                <w:sz w:val="28"/>
                <w:szCs w:val="28"/>
              </w:rPr>
              <w:t></w:t>
            </w:r>
            <w:r w:rsidRPr="00343EAA">
              <w:rPr>
                <w:sz w:val="24"/>
                <w:szCs w:val="24"/>
              </w:rPr>
              <w:t>业绩说明会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新闻发布会</w:t>
            </w:r>
            <w:r w:rsidRPr="00343EAA">
              <w:rPr>
                <w:sz w:val="24"/>
                <w:szCs w:val="24"/>
              </w:rPr>
              <w:t xml:space="preserve">          </w:t>
            </w: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路演活动</w:t>
            </w:r>
          </w:p>
          <w:p w:rsidR="00C45CEF" w:rsidRPr="00343EAA" w:rsidRDefault="00C45CEF" w:rsidP="00235331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现场参观</w:t>
            </w:r>
          </w:p>
          <w:p w:rsidR="00C45CEF" w:rsidRPr="00343EAA" w:rsidRDefault="00C45CEF" w:rsidP="00235331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其他（</w:t>
            </w:r>
            <w:proofErr w:type="gramStart"/>
            <w:r w:rsidRPr="00343EA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343EA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45CEF" w:rsidRPr="008E1C0B" w:rsidTr="00BC0623">
        <w:trPr>
          <w:trHeight w:val="8921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D263E" w:rsidRDefault="00FD263E" w:rsidP="00FD263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16"/>
              <w:gridCol w:w="816"/>
              <w:gridCol w:w="3316"/>
              <w:gridCol w:w="1116"/>
            </w:tblGrid>
            <w:tr w:rsidR="00F2513C" w:rsidRPr="00FD263E" w:rsidTr="00AF29A9">
              <w:trPr>
                <w:trHeight w:val="317"/>
                <w:tblHeader/>
              </w:trPr>
              <w:tc>
                <w:tcPr>
                  <w:tcW w:w="1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机构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人员</w:t>
                  </w:r>
                </w:p>
              </w:tc>
              <w:tc>
                <w:tcPr>
                  <w:tcW w:w="21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机构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13C" w:rsidRPr="00FD263E" w:rsidRDefault="00F2513C" w:rsidP="006356CE">
                  <w:pPr>
                    <w:widowControl/>
                    <w:jc w:val="center"/>
                    <w:rPr>
                      <w:rFonts w:eastAsia="等线"/>
                      <w:b/>
                      <w:bCs/>
                      <w:kern w:val="0"/>
                      <w:sz w:val="20"/>
                    </w:rPr>
                  </w:pPr>
                  <w:r w:rsidRPr="00FD263E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人员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中金公司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孙扬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招商基金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曾子潇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中金公司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张宇茜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汇添富基金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雷鸣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中金公司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薛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一品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兴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全基金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周文波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淡水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泉投资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李天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台湾国泰基金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李宗钰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广发基金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陈少平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台湾国泰基金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陈秋亭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泰康资产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陈怡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台湾国泰基金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张匡勋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嘉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实基金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朱子君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台湾国泰投信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黄莱英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新华基金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傅伟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台湾南山人寿保险有限公司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李士豪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邮基金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綦征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台湾富华投信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沈思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莹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嘉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实基金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胡涛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圆信永丰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李阳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安邦资产管理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钱怡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Lazard Asset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Rose LU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博泽资产管理有限公司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周胤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申万宏源资管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spell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Leolo</w:t>
                  </w:r>
                  <w:proofErr w:type="spell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 Luo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安邦资产管理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石泰华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Xinxiang Gate Capital </w:t>
                  </w:r>
                  <w:proofErr w:type="spell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Managemen</w:t>
                  </w:r>
                  <w:proofErr w:type="spell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Jeff Li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大成基金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谢譞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璇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智资本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王兵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景顺长城基金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鲍无可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TT国际快递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蔡云浩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景顺长城基金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吉翔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路博迈基金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张衣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善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道投资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鲁娜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前方基金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粱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欧文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广州金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骏投资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谭家颖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碧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云资本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干迎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广州金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骏投资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冯婉河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友和资本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何宝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深圳重器资产管理有限公司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贾珖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海涵资产管理有限公司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王强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汇添富基金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吕先进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奥陆资本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Eric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富达基金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曲晶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信资本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赵鹏飞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RWC基金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黄丹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永安期货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童成静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立格资本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李晓丽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永安国富资产管理有限公司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王超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上海重阳投资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王晓华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善渊投资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李如燕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lastRenderedPageBreak/>
                    <w:t>冠泽鼎资产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田添丞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泰达宏利基金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周少博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富达投资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周文群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高毅资产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张家伟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中宏人寿保险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白培根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景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林资产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童坤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鑫元基金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丁玥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华夏基金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林青泽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高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盛资产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戴晔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新活力资本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黄揩瑞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汇添富基金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杨义灿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远策投资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林佳明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汇添富基金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姚忠辉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北京东方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睿泽投资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韩鸿潮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银河基金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于科苗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长信资产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黄薇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西部利得基金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冯浩琦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南方基金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林朝雄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施罗德基金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严贝娜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建信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保险资管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何利丽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尚雅投资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金功耀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重阳投资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吴伟荣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友邦保险公司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黄文静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汇添富基金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蔡志文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野村资产管理有限公司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赵综艺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银基金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朱水媚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保银投资管理有限公司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金志耀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东方证券自营部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浦伟强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东方证券自营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徐卫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润晖投资</w:t>
                  </w:r>
                  <w:proofErr w:type="gramEnd"/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东方证券资产管理有限公司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张锋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东方证券自营部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李珂文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上海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途灵资产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赵子峰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合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晟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资产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张岩松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弢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盛资产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居乔颖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上海相生资产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张涛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鲍尔太平资产管理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罗贤润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挪威银行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胡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一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立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博道基金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陈磊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星辰基金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李悦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国联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安基金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呼荣权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大华投资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周成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上海陆宝投资管理有限公司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海千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鲍尔太平资产管理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李峻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瀚伦投资</w:t>
                  </w:r>
                  <w:proofErr w:type="gramEnd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吴斌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南土投资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王慧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东方证券资产管理有限公司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陈泰中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中欧基金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王海亮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茂典资产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李利恒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巨杉资产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李晓真</w:t>
                  </w:r>
                  <w:proofErr w:type="gramEnd"/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华夏基金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刘文成</w:t>
                  </w:r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大象资产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孙方达</w:t>
                  </w:r>
                </w:p>
              </w:tc>
            </w:tr>
            <w:tr w:rsidR="00AF29A9" w:rsidRPr="00AF29A9" w:rsidTr="00AF29A9">
              <w:trPr>
                <w:trHeight w:val="317"/>
              </w:trPr>
              <w:tc>
                <w:tcPr>
                  <w:tcW w:w="16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中</w:t>
                  </w: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银基金</w:t>
                  </w:r>
                  <w:proofErr w:type="gramEnd"/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池文丽</w:t>
                  </w:r>
                  <w:proofErr w:type="gramEnd"/>
                </w:p>
              </w:tc>
              <w:tc>
                <w:tcPr>
                  <w:tcW w:w="21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永安期货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F29A9" w:rsidRPr="00AF29A9" w:rsidRDefault="00AF29A9" w:rsidP="00AF29A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proofErr w:type="gramStart"/>
                  <w:r w:rsidRPr="00AF29A9">
                    <w:rPr>
                      <w:rFonts w:asciiTheme="majorEastAsia" w:eastAsiaTheme="majorEastAsia" w:hAnsiTheme="majorEastAsia" w:hint="eastAsia"/>
                      <w:sz w:val="20"/>
                    </w:rPr>
                    <w:t>童诚静</w:t>
                  </w:r>
                  <w:proofErr w:type="gramEnd"/>
                </w:p>
              </w:tc>
            </w:tr>
          </w:tbl>
          <w:p w:rsidR="00F2513C" w:rsidRPr="00B62BB2" w:rsidRDefault="00F2513C" w:rsidP="00FD263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184FBE" w:rsidP="00344218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43EAA">
              <w:rPr>
                <w:bCs/>
                <w:iCs/>
                <w:sz w:val="24"/>
                <w:szCs w:val="24"/>
              </w:rPr>
              <w:t>201</w:t>
            </w:r>
            <w:r w:rsidR="00AF29A9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343EAA">
              <w:rPr>
                <w:bCs/>
                <w:iCs/>
                <w:sz w:val="24"/>
                <w:szCs w:val="24"/>
              </w:rPr>
              <w:t>年</w:t>
            </w:r>
            <w:r w:rsidR="00AF29A9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343EAA">
              <w:rPr>
                <w:bCs/>
                <w:iCs/>
                <w:sz w:val="24"/>
                <w:szCs w:val="24"/>
              </w:rPr>
              <w:t>月</w:t>
            </w:r>
            <w:r w:rsidR="00AF29A9">
              <w:rPr>
                <w:rFonts w:hint="eastAsia"/>
                <w:bCs/>
                <w:iCs/>
                <w:sz w:val="24"/>
                <w:szCs w:val="24"/>
              </w:rPr>
              <w:t>16</w:t>
            </w:r>
            <w:r w:rsidR="000B3F80">
              <w:rPr>
                <w:rFonts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C45CEF" w:rsidRPr="00650268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600E4A" w:rsidP="00FC0FB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6E2DD1">
              <w:rPr>
                <w:rFonts w:hint="eastAsia"/>
                <w:bCs/>
                <w:iCs/>
                <w:sz w:val="24"/>
                <w:szCs w:val="24"/>
              </w:rPr>
              <w:t>内</w:t>
            </w:r>
            <w:r w:rsidR="00533B4A" w:rsidRPr="006E2DD1"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FC0FBA" w:rsidRPr="006E2DD1">
              <w:rPr>
                <w:rFonts w:hint="eastAsia"/>
                <w:bCs/>
                <w:iCs/>
                <w:sz w:val="24"/>
                <w:szCs w:val="24"/>
              </w:rPr>
              <w:t>电话会议</w:t>
            </w:r>
            <w:r w:rsidR="00CE26EB" w:rsidRPr="006E2DD1">
              <w:rPr>
                <w:rFonts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C45CEF" w:rsidRPr="004302C3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533B4A" w:rsidP="00533B4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董事长</w:t>
            </w:r>
            <w:r w:rsidR="00582ECC">
              <w:rPr>
                <w:rFonts w:hint="eastAsia"/>
                <w:bCs/>
                <w:iCs/>
                <w:sz w:val="24"/>
                <w:szCs w:val="24"/>
              </w:rPr>
              <w:t>及总经理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>薛华、</w:t>
            </w:r>
            <w:r w:rsidR="00600E4A" w:rsidRPr="00476C2E">
              <w:rPr>
                <w:rFonts w:hint="eastAsia"/>
                <w:bCs/>
                <w:iCs/>
                <w:sz w:val="24"/>
                <w:szCs w:val="24"/>
              </w:rPr>
              <w:t>副总经理及董事会秘书黄志健</w:t>
            </w:r>
            <w:r>
              <w:rPr>
                <w:rFonts w:hint="eastAsia"/>
                <w:bCs/>
                <w:iCs/>
                <w:sz w:val="24"/>
                <w:szCs w:val="24"/>
              </w:rPr>
              <w:t>、证券事务代表卢洁雯</w:t>
            </w:r>
            <w:r w:rsidR="005C6E80">
              <w:rPr>
                <w:rFonts w:hint="eastAsia"/>
                <w:bCs/>
                <w:iCs/>
                <w:sz w:val="24"/>
                <w:szCs w:val="24"/>
              </w:rPr>
              <w:t>、杨华芳</w:t>
            </w:r>
          </w:p>
        </w:tc>
      </w:tr>
      <w:tr w:rsidR="00C45CEF" w:rsidRPr="00343EAA" w:rsidTr="00A51D9B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</w:t>
            </w: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动主要内容介绍</w:t>
            </w:r>
          </w:p>
        </w:tc>
        <w:tc>
          <w:tcPr>
            <w:tcW w:w="7023" w:type="dxa"/>
            <w:shd w:val="clear" w:color="auto" w:fill="auto"/>
          </w:tcPr>
          <w:p w:rsidR="005C6E80" w:rsidRPr="005C6E80" w:rsidRDefault="00A93ECF" w:rsidP="005C6E8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一、</w:t>
            </w:r>
            <w:r w:rsidR="005C6E80" w:rsidRPr="005C6E80">
              <w:rPr>
                <w:rFonts w:hint="eastAsia"/>
                <w:b/>
                <w:bCs/>
                <w:iCs/>
                <w:sz w:val="24"/>
                <w:szCs w:val="24"/>
              </w:rPr>
              <w:t>公司介绍基本情况：</w:t>
            </w:r>
          </w:p>
          <w:p w:rsidR="005C6E80" w:rsidRPr="005C6E80" w:rsidRDefault="005C6E80" w:rsidP="005C6E8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5C6E80">
              <w:rPr>
                <w:rFonts w:hint="eastAsia"/>
                <w:bCs/>
                <w:iCs/>
                <w:sz w:val="24"/>
                <w:szCs w:val="24"/>
              </w:rPr>
              <w:t>饲料：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年销量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1070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万吨，同比</w:t>
            </w:r>
            <w:r>
              <w:rPr>
                <w:rFonts w:hint="eastAsia"/>
                <w:bCs/>
                <w:iCs/>
                <w:sz w:val="24"/>
                <w:szCs w:val="24"/>
              </w:rPr>
              <w:t>增长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26%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，与公司预算基本吻合；饲料产品单价均上涨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3-5%</w:t>
            </w:r>
            <w:r>
              <w:rPr>
                <w:rFonts w:hint="eastAsia"/>
                <w:bCs/>
                <w:iCs/>
                <w:sz w:val="24"/>
                <w:szCs w:val="24"/>
              </w:rPr>
              <w:t>左右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，饲料板块收入同比</w:t>
            </w:r>
            <w:r>
              <w:rPr>
                <w:rFonts w:hint="eastAsia"/>
                <w:bCs/>
                <w:iCs/>
                <w:sz w:val="24"/>
                <w:szCs w:val="24"/>
              </w:rPr>
              <w:t>增长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32%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，毛利同比</w:t>
            </w:r>
            <w:r>
              <w:rPr>
                <w:rFonts w:hint="eastAsia"/>
                <w:bCs/>
                <w:iCs/>
                <w:sz w:val="24"/>
                <w:szCs w:val="24"/>
              </w:rPr>
              <w:t>增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长</w:t>
            </w:r>
            <w:r w:rsidR="00FC0FBA" w:rsidRPr="00075F4D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075F4D">
              <w:rPr>
                <w:bCs/>
                <w:iCs/>
                <w:sz w:val="24"/>
                <w:szCs w:val="24"/>
              </w:rPr>
              <w:t>6%</w:t>
            </w:r>
            <w:r w:rsidRPr="00075F4D">
              <w:rPr>
                <w:rFonts w:hint="eastAsia"/>
                <w:bCs/>
                <w:iCs/>
                <w:sz w:val="24"/>
                <w:szCs w:val="24"/>
              </w:rPr>
              <w:t>，我们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认为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公司饲料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整体增长比较稳定。</w:t>
            </w:r>
          </w:p>
          <w:p w:rsidR="005C6E80" w:rsidRPr="005C6E80" w:rsidRDefault="005C6E80" w:rsidP="005C6E8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5C6E80" w:rsidRPr="005C6E80" w:rsidRDefault="005C6E80" w:rsidP="005C6E8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5C6E80">
              <w:rPr>
                <w:rFonts w:hint="eastAsia"/>
                <w:bCs/>
                <w:iCs/>
                <w:sz w:val="24"/>
                <w:szCs w:val="24"/>
              </w:rPr>
              <w:t>生猪养殖：全年生猪出栏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70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万头，其中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50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万头来自“公司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农户”，基本都为外购仔猪，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万头为自繁自养及猪苗。虽然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公司现在养殖规模不大，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目前公司生猪养殖土地储备约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万亩，分别分布于广东、广西、湖南、湖北、贵州和山东，可满足建设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多万头母猪（约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500</w:t>
            </w:r>
            <w:r w:rsidR="00A93ECF" w:rsidRPr="00A93ECF">
              <w:rPr>
                <w:rFonts w:hint="eastAsia"/>
                <w:bCs/>
                <w:iCs/>
                <w:sz w:val="24"/>
                <w:szCs w:val="24"/>
              </w:rPr>
              <w:t>万头肥猪）产能布局。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养殖成本看，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582ECC">
              <w:rPr>
                <w:rFonts w:hint="eastAsia"/>
                <w:bCs/>
                <w:iCs/>
                <w:sz w:val="24"/>
                <w:szCs w:val="24"/>
              </w:rPr>
              <w:t>下半年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“公司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+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农户”的成本控制在</w:t>
            </w:r>
            <w:r w:rsidR="00582ECC">
              <w:rPr>
                <w:bCs/>
                <w:iCs/>
                <w:sz w:val="24"/>
                <w:szCs w:val="24"/>
              </w:rPr>
              <w:t>12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元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/</w:t>
            </w:r>
            <w:r w:rsidR="00582ECC">
              <w:rPr>
                <w:rFonts w:hint="eastAsia"/>
                <w:bCs/>
                <w:iCs/>
                <w:sz w:val="24"/>
                <w:szCs w:val="24"/>
              </w:rPr>
              <w:t>公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斤以内，成本上有一定优势。</w:t>
            </w:r>
          </w:p>
          <w:p w:rsidR="005C6E80" w:rsidRPr="005C6E80" w:rsidRDefault="005C6E80" w:rsidP="005C6E80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5C6E80" w:rsidRPr="005C6E80" w:rsidRDefault="005C6E80" w:rsidP="004E61DF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动保：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动保板块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全年营收</w:t>
            </w:r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4.73</w:t>
            </w:r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19.82%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公司水产</w:t>
            </w:r>
            <w:proofErr w:type="gramStart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动保经过</w:t>
            </w:r>
            <w:proofErr w:type="gramEnd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多年的发展已经有很强的服务体系，并且拥有良好的内部经销渠道，也拥有了非常强的品牌基础，核心产品性价比优势明显。在消费升级和高档水产品养殖市场增量驱动下，</w:t>
            </w:r>
            <w:proofErr w:type="gramStart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水产动保市场</w:t>
            </w:r>
            <w:proofErr w:type="gramEnd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空间将保持稳定增长。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海外业务方面，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5C6E80">
              <w:rPr>
                <w:rFonts w:hint="eastAsia"/>
                <w:bCs/>
                <w:iCs/>
                <w:sz w:val="24"/>
                <w:szCs w:val="24"/>
              </w:rPr>
              <w:t>年公司已经在东南亚启动了水产</w:t>
            </w:r>
            <w:proofErr w:type="gramStart"/>
            <w:r w:rsidRPr="005C6E80">
              <w:rPr>
                <w:rFonts w:hint="eastAsia"/>
                <w:bCs/>
                <w:iCs/>
                <w:sz w:val="24"/>
                <w:szCs w:val="24"/>
              </w:rPr>
              <w:t>动保工厂</w:t>
            </w:r>
            <w:proofErr w:type="gramEnd"/>
            <w:r w:rsidRPr="005C6E80">
              <w:rPr>
                <w:rFonts w:hint="eastAsia"/>
                <w:bCs/>
                <w:iCs/>
                <w:sz w:val="24"/>
                <w:szCs w:val="24"/>
              </w:rPr>
              <w:t>建设，</w:t>
            </w:r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未来东南亚</w:t>
            </w:r>
            <w:proofErr w:type="gramStart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水产动保的</w:t>
            </w:r>
            <w:proofErr w:type="gramEnd"/>
            <w:r w:rsidR="00582ECC" w:rsidRPr="00582ECC">
              <w:rPr>
                <w:rFonts w:hint="eastAsia"/>
                <w:bCs/>
                <w:iCs/>
                <w:sz w:val="24"/>
                <w:szCs w:val="24"/>
              </w:rPr>
              <w:t>销售将成为增长新亮点。</w:t>
            </w:r>
          </w:p>
          <w:p w:rsidR="005C6E80" w:rsidRDefault="005C6E80" w:rsidP="004E61DF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5C6E80" w:rsidRPr="0010637E" w:rsidRDefault="005C6E80" w:rsidP="0010637E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10637E">
              <w:rPr>
                <w:rFonts w:hint="eastAsia"/>
                <w:b/>
                <w:bCs/>
                <w:iCs/>
                <w:sz w:val="24"/>
                <w:szCs w:val="24"/>
              </w:rPr>
              <w:t>投资者问答环节：</w:t>
            </w:r>
          </w:p>
          <w:p w:rsidR="00551AEF" w:rsidRPr="00551AEF" w:rsidRDefault="00C6785B" w:rsidP="00C6785B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8174F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水产料、禽料、猪料等在技术、营销方面的差异？</w:t>
            </w:r>
          </w:p>
          <w:p w:rsidR="003905AD" w:rsidRDefault="0080411F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</w:t>
            </w:r>
            <w:r w:rsidR="008A3570"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基本逻辑相似，产品品质和销售团队是重点。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公司目前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形成了采购、研发、营销、服务</w:t>
            </w:r>
            <w:r w:rsidR="00F84899">
              <w:rPr>
                <w:rFonts w:hint="eastAsia"/>
                <w:bCs/>
                <w:iCs/>
                <w:sz w:val="24"/>
                <w:szCs w:val="24"/>
              </w:rPr>
              <w:t>、内部运营等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一体的优势，同时产品</w:t>
            </w:r>
            <w:proofErr w:type="gramStart"/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力不断</w:t>
            </w:r>
            <w:proofErr w:type="gramEnd"/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提升。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特种</w:t>
            </w:r>
            <w:r w:rsidR="00F84899">
              <w:rPr>
                <w:rFonts w:hint="eastAsia"/>
                <w:bCs/>
                <w:iCs/>
                <w:sz w:val="24"/>
                <w:szCs w:val="24"/>
              </w:rPr>
              <w:t>水产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料偏重</w:t>
            </w:r>
            <w:r w:rsidR="00F84899">
              <w:rPr>
                <w:rFonts w:hint="eastAsia"/>
                <w:bCs/>
                <w:iCs/>
                <w:sz w:val="24"/>
                <w:szCs w:val="24"/>
              </w:rPr>
              <w:t>产品力和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服务，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禽料更侧重运营</w:t>
            </w:r>
            <w:r w:rsidR="00F84899">
              <w:rPr>
                <w:rFonts w:hint="eastAsia"/>
                <w:bCs/>
                <w:iCs/>
                <w:sz w:val="24"/>
                <w:szCs w:val="24"/>
              </w:rPr>
              <w:t>效率、产品力的一体化要求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2427FC" w:rsidRDefault="002427FC" w:rsidP="00C6785B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781E8A" w:rsidRDefault="00DA122C" w:rsidP="00781E8A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781E8A" w:rsidRPr="00781E8A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公司对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年水产价格的展望？应对异常天气有哪些措施？</w:t>
            </w:r>
          </w:p>
          <w:p w:rsidR="002427FC" w:rsidRDefault="006378C5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总体来说，虽然水产价格周期对水产料有影响，但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对公司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影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响不是很大，公司对水产价格的周期波动有较强的应对能力。</w:t>
            </w:r>
          </w:p>
          <w:p w:rsidR="00781E8A" w:rsidRDefault="002427FC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 w:rsidRPr="002427FC">
              <w:rPr>
                <w:rFonts w:hint="eastAsia"/>
                <w:bCs/>
                <w:iCs/>
                <w:sz w:val="24"/>
                <w:szCs w:val="24"/>
              </w:rPr>
              <w:t>在应对天气风险、异常扰动方面，公司会在预算时考虑</w:t>
            </w:r>
            <w:r w:rsidR="00C6785B">
              <w:rPr>
                <w:rFonts w:hint="eastAsia"/>
                <w:bCs/>
                <w:iCs/>
                <w:sz w:val="24"/>
                <w:szCs w:val="24"/>
              </w:rPr>
              <w:t>加以考虑</w:t>
            </w:r>
            <w:r w:rsidR="000B703E">
              <w:rPr>
                <w:rFonts w:hint="eastAsia"/>
                <w:bCs/>
                <w:iCs/>
                <w:sz w:val="24"/>
                <w:szCs w:val="24"/>
              </w:rPr>
              <w:t>并制定相应的应对措施以完成预算目标。公司目前在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不同区域之间的产品结构比较均衡，划分很多大区也有很多品类，抗风险能力具备。</w:t>
            </w:r>
          </w:p>
          <w:p w:rsidR="002427FC" w:rsidRDefault="002427FC" w:rsidP="00025C78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736313" w:rsidRDefault="00DA122C" w:rsidP="00BC3B71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3</w:t>
            </w:r>
            <w:r w:rsidR="00736313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未来对水产</w:t>
            </w:r>
            <w:proofErr w:type="gramStart"/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料结构</w:t>
            </w:r>
            <w:proofErr w:type="gramEnd"/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的规划？</w:t>
            </w:r>
          </w:p>
          <w:p w:rsidR="000E0BF5" w:rsidRDefault="005777C1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D6C21">
              <w:rPr>
                <w:rFonts w:hint="eastAsia"/>
                <w:bCs/>
                <w:iCs/>
                <w:sz w:val="24"/>
                <w:szCs w:val="24"/>
              </w:rPr>
              <w:t>近年来，由于</w:t>
            </w:r>
            <w:r w:rsidR="00FD6C21" w:rsidRPr="00FD6C21">
              <w:rPr>
                <w:rFonts w:hint="eastAsia"/>
                <w:bCs/>
                <w:iCs/>
                <w:sz w:val="24"/>
                <w:szCs w:val="24"/>
              </w:rPr>
              <w:t>行业消费升级，虾蟹料和特种料的增长比较快</w:t>
            </w:r>
            <w:r w:rsidR="00FD6C21">
              <w:rPr>
                <w:rFonts w:hint="eastAsia"/>
                <w:bCs/>
                <w:iCs/>
                <w:sz w:val="24"/>
                <w:szCs w:val="24"/>
              </w:rPr>
              <w:t>，普通鱼料增长较慢。今明年公司会调整饲料产品结构，调整目标在于追求总量提升的同时保证结构相对均衡。</w:t>
            </w:r>
            <w:r w:rsidR="00FD6C21" w:rsidRPr="00FD6C21">
              <w:rPr>
                <w:rFonts w:hint="eastAsia"/>
                <w:bCs/>
                <w:iCs/>
                <w:sz w:val="24"/>
                <w:szCs w:val="24"/>
              </w:rPr>
              <w:t>对传统的四大家</w:t>
            </w:r>
            <w:proofErr w:type="gramStart"/>
            <w:r w:rsidR="00FD6C21" w:rsidRPr="00FD6C21">
              <w:rPr>
                <w:rFonts w:hint="eastAsia"/>
                <w:bCs/>
                <w:iCs/>
                <w:sz w:val="24"/>
                <w:szCs w:val="24"/>
              </w:rPr>
              <w:t>鱼增加</w:t>
            </w:r>
            <w:proofErr w:type="gramEnd"/>
            <w:r w:rsidR="00FD6C21" w:rsidRPr="00FD6C21">
              <w:rPr>
                <w:rFonts w:hint="eastAsia"/>
                <w:bCs/>
                <w:iCs/>
                <w:sz w:val="24"/>
                <w:szCs w:val="24"/>
              </w:rPr>
              <w:t>力度，</w:t>
            </w:r>
            <w:r w:rsidR="00FD6C21">
              <w:rPr>
                <w:rFonts w:hint="eastAsia"/>
                <w:bCs/>
                <w:iCs/>
                <w:sz w:val="24"/>
                <w:szCs w:val="24"/>
              </w:rPr>
              <w:t>做功能性、差异化的产品，提升普通鱼料的销量。</w:t>
            </w:r>
          </w:p>
          <w:p w:rsidR="002427FC" w:rsidRDefault="002427FC" w:rsidP="00025C78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025C78" w:rsidRDefault="00DA122C" w:rsidP="002427FC">
            <w:pPr>
              <w:tabs>
                <w:tab w:val="left" w:pos="77"/>
                <w:tab w:val="left" w:pos="502"/>
              </w:tabs>
              <w:spacing w:line="360" w:lineRule="auto"/>
              <w:ind w:leftChars="228" w:left="479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2427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非洲猪瘟疫情影响下，公司生猪养殖受到的影响？</w:t>
            </w:r>
          </w:p>
          <w:p w:rsidR="002427FC" w:rsidRDefault="002427FC" w:rsidP="001D74C1">
            <w:pPr>
              <w:tabs>
                <w:tab w:val="left" w:pos="0"/>
                <w:tab w:val="left" w:pos="77"/>
              </w:tabs>
              <w:spacing w:line="360" w:lineRule="auto"/>
              <w:ind w:left="1" w:firstLineChars="195" w:firstLine="46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公司在生猪养殖</w:t>
            </w:r>
            <w:r w:rsidR="00FD6C21" w:rsidRPr="002427FC">
              <w:rPr>
                <w:rFonts w:hint="eastAsia"/>
                <w:bCs/>
                <w:iCs/>
                <w:sz w:val="24"/>
                <w:szCs w:val="24"/>
              </w:rPr>
              <w:t>布局集中在广东、广西、湖南</w:t>
            </w:r>
            <w:r w:rsidR="00FD6C21">
              <w:rPr>
                <w:rFonts w:hint="eastAsia"/>
                <w:bCs/>
                <w:iCs/>
                <w:sz w:val="24"/>
                <w:szCs w:val="24"/>
              </w:rPr>
              <w:t>，这些区域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相对比较稳定，没有受到非洲猪瘟的大幅影响</w:t>
            </w:r>
            <w:r w:rsidR="00FD6C2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2427FC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2427FC" w:rsidRDefault="00DA122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2427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2427FC" w:rsidRPr="002427FC">
              <w:rPr>
                <w:rFonts w:hint="eastAsia"/>
                <w:bCs/>
                <w:iCs/>
                <w:sz w:val="24"/>
                <w:szCs w:val="24"/>
              </w:rPr>
              <w:t>饲料、养殖业务的长期战略规划？</w:t>
            </w:r>
          </w:p>
          <w:p w:rsidR="00494AB8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年或者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8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年，非洲猪瘟疫情加快饲料行业的整合，中小产能因猪</w:t>
            </w:r>
            <w:proofErr w:type="gramStart"/>
            <w:r w:rsidRPr="002427FC">
              <w:rPr>
                <w:rFonts w:hint="eastAsia"/>
                <w:bCs/>
                <w:iCs/>
                <w:sz w:val="24"/>
                <w:szCs w:val="24"/>
              </w:rPr>
              <w:t>料销售</w:t>
            </w:r>
            <w:proofErr w:type="gramEnd"/>
            <w:r w:rsidRPr="002427FC">
              <w:rPr>
                <w:rFonts w:hint="eastAsia"/>
                <w:bCs/>
                <w:iCs/>
                <w:sz w:val="24"/>
                <w:szCs w:val="24"/>
              </w:rPr>
              <w:t>不佳而退出，行业集中度提升，</w:t>
            </w:r>
            <w:r w:rsidR="00025C78">
              <w:rPr>
                <w:rFonts w:hint="eastAsia"/>
                <w:bCs/>
                <w:iCs/>
                <w:sz w:val="24"/>
                <w:szCs w:val="24"/>
              </w:rPr>
              <w:t>对公司而言是机遇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494AB8">
              <w:rPr>
                <w:rFonts w:hint="eastAsia"/>
                <w:bCs/>
                <w:iCs/>
                <w:sz w:val="24"/>
                <w:szCs w:val="24"/>
              </w:rPr>
              <w:t>公司对未来饲料总量的目标非常高，饲料业务将长期作为公司的核心发展业务。</w:t>
            </w:r>
          </w:p>
          <w:p w:rsidR="002427FC" w:rsidRPr="002427FC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proofErr w:type="gramStart"/>
            <w:r w:rsidRPr="002427FC">
              <w:rPr>
                <w:rFonts w:hint="eastAsia"/>
                <w:bCs/>
                <w:iCs/>
                <w:sz w:val="24"/>
                <w:szCs w:val="24"/>
              </w:rPr>
              <w:t>动保是</w:t>
            </w:r>
            <w:proofErr w:type="gramEnd"/>
            <w:r w:rsidRPr="002427FC">
              <w:rPr>
                <w:rFonts w:hint="eastAsia"/>
                <w:bCs/>
                <w:iCs/>
                <w:sz w:val="24"/>
                <w:szCs w:val="24"/>
              </w:rPr>
              <w:t>公司未来看好的板块，也是饲料企业很容易跨界发展的领域，</w:t>
            </w:r>
            <w:r w:rsidR="00DA122C">
              <w:rPr>
                <w:rFonts w:hint="eastAsia"/>
                <w:bCs/>
                <w:iCs/>
                <w:sz w:val="24"/>
                <w:szCs w:val="24"/>
              </w:rPr>
              <w:t>公司未来将着力于产品和服务上的提升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2427FC" w:rsidRDefault="002427FC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2427FC">
              <w:rPr>
                <w:rFonts w:hint="eastAsia"/>
                <w:bCs/>
                <w:iCs/>
                <w:sz w:val="24"/>
                <w:szCs w:val="24"/>
              </w:rPr>
              <w:t>养殖业务在近半年公司放缓了扩张速度，因为公司的策略是</w:t>
            </w:r>
            <w:r w:rsidR="00DA122C">
              <w:rPr>
                <w:rFonts w:hint="eastAsia"/>
                <w:bCs/>
                <w:iCs/>
                <w:sz w:val="24"/>
                <w:szCs w:val="24"/>
              </w:rPr>
              <w:t>稳定发展，审慎应对养殖周期、疫情风险等给公司发展带来风险和波动，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保证</w:t>
            </w:r>
            <w:r w:rsidR="00DA122C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Pr="002427FC">
              <w:rPr>
                <w:rFonts w:hint="eastAsia"/>
                <w:bCs/>
                <w:iCs/>
                <w:sz w:val="24"/>
                <w:szCs w:val="24"/>
              </w:rPr>
              <w:t>整体稳健增长。</w:t>
            </w:r>
          </w:p>
          <w:p w:rsidR="004E61DF" w:rsidRDefault="004E61DF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4E61DF" w:rsidRDefault="004E61DF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hint="eastAsia"/>
                <w:bCs/>
                <w:iCs/>
                <w:sz w:val="24"/>
                <w:szCs w:val="24"/>
              </w:rPr>
              <w:t>、公司费用增长原因？</w:t>
            </w:r>
          </w:p>
          <w:p w:rsidR="004E61DF" w:rsidRDefault="004E61DF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主要在于人员费用和财务费用增长多：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）人员费用方面，因为公司职工数量增加；薪酬工资同比增长，公司销售费用、管理费用，以及制造费用的增加，主要源于人员费用的增长；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）财务费用大增，系因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年二、三季度国内货币资金紧张，融资较难，公司融资额度增加的同时把部分短期负债置换长期负债，导致利息支出和财务费用同比增加近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亿左右。</w:t>
            </w:r>
          </w:p>
          <w:p w:rsidR="004E61DF" w:rsidRDefault="004E61DF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4E61DF" w:rsidRDefault="004E61DF" w:rsidP="002427F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hint="eastAsia"/>
                <w:bCs/>
                <w:iCs/>
                <w:sz w:val="24"/>
                <w:szCs w:val="24"/>
              </w:rPr>
              <w:t>、公司应收账款情况？</w:t>
            </w:r>
          </w:p>
          <w:p w:rsidR="00DA122C" w:rsidRDefault="004E61DF" w:rsidP="004E61DF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4E61DF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年末应收账款合共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11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亿左右，绝大部分为水产饲料的应收款，截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lastRenderedPageBreak/>
              <w:t>至目前看，应收</w:t>
            </w:r>
            <w:proofErr w:type="gramStart"/>
            <w:r w:rsidRPr="004E61DF">
              <w:rPr>
                <w:rFonts w:hint="eastAsia"/>
                <w:bCs/>
                <w:iCs/>
                <w:sz w:val="24"/>
                <w:szCs w:val="24"/>
              </w:rPr>
              <w:t>款质量</w:t>
            </w:r>
            <w:proofErr w:type="gramEnd"/>
            <w:r w:rsidRPr="004E61DF">
              <w:rPr>
                <w:rFonts w:hint="eastAsia"/>
                <w:bCs/>
                <w:iCs/>
                <w:sz w:val="24"/>
                <w:szCs w:val="24"/>
              </w:rPr>
              <w:t>较好，不存在大额坏账风险。应收账款增加的原因在于三方面：①行业景气度下行。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年鱼价低迷，从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月开始大宗水产价格持续下行，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12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月份鱼价已经在低位，养殖户售卖积极性不高，</w:t>
            </w:r>
            <w:proofErr w:type="gramStart"/>
            <w:r w:rsidRPr="004E61DF">
              <w:rPr>
                <w:rFonts w:hint="eastAsia"/>
                <w:bCs/>
                <w:iCs/>
                <w:sz w:val="24"/>
                <w:szCs w:val="24"/>
              </w:rPr>
              <w:t>存塘量很高</w:t>
            </w:r>
            <w:proofErr w:type="gramEnd"/>
            <w:r w:rsidRPr="004E61DF">
              <w:rPr>
                <w:rFonts w:hint="eastAsia"/>
                <w:bCs/>
                <w:iCs/>
                <w:sz w:val="24"/>
                <w:szCs w:val="24"/>
              </w:rPr>
              <w:t>导致公司应收账款回款速度减慢。②近年特种水产饲料发展迅猛，公司给养殖</w:t>
            </w:r>
            <w:proofErr w:type="gramStart"/>
            <w:r w:rsidRPr="004E61DF">
              <w:rPr>
                <w:rFonts w:hint="eastAsia"/>
                <w:bCs/>
                <w:iCs/>
                <w:sz w:val="24"/>
                <w:szCs w:val="24"/>
              </w:rPr>
              <w:t>户适当</w:t>
            </w:r>
            <w:proofErr w:type="gramEnd"/>
            <w:r w:rsidRPr="004E61DF">
              <w:rPr>
                <w:rFonts w:hint="eastAsia"/>
                <w:bCs/>
                <w:iCs/>
                <w:sz w:val="24"/>
                <w:szCs w:val="24"/>
              </w:rPr>
              <w:t>的资金支持。因为特种鱼料养殖成本高，养殖户资金紧张，导致经销商、饲料公司需要支持更多资金，公司会加大对他们的资金支持；③海外市场开拓水产饲料。海外市场应收款较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2017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年增长约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亿元，源于在当地业务拓展过程，其中印度工厂已在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Pr="004E61DF">
              <w:rPr>
                <w:rFonts w:hint="eastAsia"/>
                <w:bCs/>
                <w:iCs/>
                <w:sz w:val="24"/>
                <w:szCs w:val="24"/>
              </w:rPr>
              <w:t>年年末投产，印尼工厂计划在近两个月会投产，公司在东南亚市场会有一定应收账款，但同时公司会要求当地养殖户用资产抵押担保，公司海外挑选的养殖</w:t>
            </w:r>
            <w:proofErr w:type="gramStart"/>
            <w:r w:rsidRPr="004E61DF">
              <w:rPr>
                <w:rFonts w:hint="eastAsia"/>
                <w:bCs/>
                <w:iCs/>
                <w:sz w:val="24"/>
                <w:szCs w:val="24"/>
              </w:rPr>
              <w:t>户资产</w:t>
            </w:r>
            <w:proofErr w:type="gramEnd"/>
            <w:r w:rsidRPr="004E61DF">
              <w:rPr>
                <w:rFonts w:hint="eastAsia"/>
                <w:bCs/>
                <w:iCs/>
                <w:sz w:val="24"/>
                <w:szCs w:val="24"/>
              </w:rPr>
              <w:t>较为充裕，抵押物基本能保证资金的风险。</w:t>
            </w:r>
          </w:p>
          <w:p w:rsidR="004E61DF" w:rsidRPr="00E84F00" w:rsidRDefault="004E61DF" w:rsidP="004E61DF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C45CEF" w:rsidP="00922BA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0B4A8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5B29B3" w:rsidP="000F1F1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5B29B3">
              <w:rPr>
                <w:rFonts w:hint="eastAsia"/>
                <w:bCs/>
                <w:iCs/>
                <w:sz w:val="24"/>
                <w:szCs w:val="24"/>
              </w:rPr>
              <w:t>201</w:t>
            </w:r>
            <w:r w:rsidR="00594E55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594E55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594E55">
              <w:rPr>
                <w:rFonts w:hint="eastAsia"/>
                <w:bCs/>
                <w:iCs/>
                <w:sz w:val="24"/>
                <w:szCs w:val="24"/>
              </w:rPr>
              <w:t>16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004B" w:rsidRPr="00343EAA" w:rsidRDefault="0043004B" w:rsidP="005D6F61">
      <w:pPr>
        <w:spacing w:line="360" w:lineRule="auto"/>
      </w:pPr>
    </w:p>
    <w:sectPr w:rsidR="0043004B" w:rsidRPr="0034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77" w:rsidRDefault="00C32177" w:rsidP="00392AF7">
      <w:r>
        <w:separator/>
      </w:r>
    </w:p>
  </w:endnote>
  <w:endnote w:type="continuationSeparator" w:id="0">
    <w:p w:rsidR="00C32177" w:rsidRDefault="00C32177" w:rsidP="003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77" w:rsidRDefault="00C32177" w:rsidP="00392AF7">
      <w:r>
        <w:separator/>
      </w:r>
    </w:p>
  </w:footnote>
  <w:footnote w:type="continuationSeparator" w:id="0">
    <w:p w:rsidR="00C32177" w:rsidRDefault="00C32177" w:rsidP="003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15"/>
    <w:multiLevelType w:val="hybridMultilevel"/>
    <w:tmpl w:val="DD50C69E"/>
    <w:lvl w:ilvl="0" w:tplc="3468C52C">
      <w:start w:val="1"/>
      <w:numFmt w:val="decimal"/>
      <w:lvlText w:val="%1、"/>
      <w:lvlJc w:val="left"/>
      <w:pPr>
        <w:ind w:left="120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9856A5"/>
    <w:multiLevelType w:val="hybridMultilevel"/>
    <w:tmpl w:val="744278FA"/>
    <w:lvl w:ilvl="0" w:tplc="7040BC6E">
      <w:start w:val="1"/>
      <w:numFmt w:val="decimal"/>
      <w:lvlText w:val="%1、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7" w:hanging="420"/>
      </w:pPr>
    </w:lvl>
    <w:lvl w:ilvl="2" w:tplc="0409001B" w:tentative="1">
      <w:start w:val="1"/>
      <w:numFmt w:val="lowerRoman"/>
      <w:lvlText w:val="%3."/>
      <w:lvlJc w:val="righ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9" w:tentative="1">
      <w:start w:val="1"/>
      <w:numFmt w:val="lowerLetter"/>
      <w:lvlText w:val="%5)"/>
      <w:lvlJc w:val="left"/>
      <w:pPr>
        <w:ind w:left="2177" w:hanging="420"/>
      </w:pPr>
    </w:lvl>
    <w:lvl w:ilvl="5" w:tplc="0409001B" w:tentative="1">
      <w:start w:val="1"/>
      <w:numFmt w:val="lowerRoman"/>
      <w:lvlText w:val="%6."/>
      <w:lvlJc w:val="righ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9" w:tentative="1">
      <w:start w:val="1"/>
      <w:numFmt w:val="lowerLetter"/>
      <w:lvlText w:val="%8)"/>
      <w:lvlJc w:val="left"/>
      <w:pPr>
        <w:ind w:left="3437" w:hanging="420"/>
      </w:pPr>
    </w:lvl>
    <w:lvl w:ilvl="8" w:tplc="0409001B" w:tentative="1">
      <w:start w:val="1"/>
      <w:numFmt w:val="lowerRoman"/>
      <w:lvlText w:val="%9."/>
      <w:lvlJc w:val="right"/>
      <w:pPr>
        <w:ind w:left="3857" w:hanging="420"/>
      </w:pPr>
    </w:lvl>
  </w:abstractNum>
  <w:abstractNum w:abstractNumId="2">
    <w:nsid w:val="0E306AE7"/>
    <w:multiLevelType w:val="hybridMultilevel"/>
    <w:tmpl w:val="DD3E1E00"/>
    <w:lvl w:ilvl="0" w:tplc="209A116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209A116A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D3D6E12"/>
    <w:multiLevelType w:val="hybridMultilevel"/>
    <w:tmpl w:val="48DA2F76"/>
    <w:lvl w:ilvl="0" w:tplc="38F6A910">
      <w:start w:val="1"/>
      <w:numFmt w:val="japaneseCounting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4">
    <w:nsid w:val="37266A8F"/>
    <w:multiLevelType w:val="hybridMultilevel"/>
    <w:tmpl w:val="D7208C18"/>
    <w:lvl w:ilvl="0" w:tplc="79BCAA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6E77D0"/>
    <w:multiLevelType w:val="hybridMultilevel"/>
    <w:tmpl w:val="F52EA966"/>
    <w:lvl w:ilvl="0" w:tplc="C59438A8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5B9F3437"/>
    <w:multiLevelType w:val="hybridMultilevel"/>
    <w:tmpl w:val="C330AA96"/>
    <w:lvl w:ilvl="0" w:tplc="4A9E2152">
      <w:start w:val="1"/>
      <w:numFmt w:val="decimal"/>
      <w:lvlText w:val="%1、"/>
      <w:lvlJc w:val="left"/>
      <w:pPr>
        <w:ind w:left="134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5EFE004A"/>
    <w:multiLevelType w:val="hybridMultilevel"/>
    <w:tmpl w:val="8EEEE9F2"/>
    <w:lvl w:ilvl="0" w:tplc="3DB840C0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8">
    <w:nsid w:val="65A70CF4"/>
    <w:multiLevelType w:val="hybridMultilevel"/>
    <w:tmpl w:val="CC4C3998"/>
    <w:lvl w:ilvl="0" w:tplc="77B4AC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A30CF8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F154289"/>
    <w:multiLevelType w:val="hybridMultilevel"/>
    <w:tmpl w:val="037E32A6"/>
    <w:lvl w:ilvl="0" w:tplc="60D4353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9475E87"/>
    <w:multiLevelType w:val="hybridMultilevel"/>
    <w:tmpl w:val="85D2535E"/>
    <w:lvl w:ilvl="0" w:tplc="8812ADC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卢洁雯(证券部/证券办公室)">
    <w15:presenceInfo w15:providerId="AD" w15:userId="S-1-5-21-3965234971-3415458661-3087289546-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DC9"/>
    <w:rsid w:val="0000139B"/>
    <w:rsid w:val="00001767"/>
    <w:rsid w:val="00001D70"/>
    <w:rsid w:val="00002289"/>
    <w:rsid w:val="00002385"/>
    <w:rsid w:val="00002E3B"/>
    <w:rsid w:val="00003BF3"/>
    <w:rsid w:val="000045F8"/>
    <w:rsid w:val="00004825"/>
    <w:rsid w:val="00005B10"/>
    <w:rsid w:val="00010542"/>
    <w:rsid w:val="0001112A"/>
    <w:rsid w:val="000112AE"/>
    <w:rsid w:val="00011908"/>
    <w:rsid w:val="000137C7"/>
    <w:rsid w:val="0002102C"/>
    <w:rsid w:val="000219C5"/>
    <w:rsid w:val="00021EC3"/>
    <w:rsid w:val="0002248A"/>
    <w:rsid w:val="00022A0A"/>
    <w:rsid w:val="000259EF"/>
    <w:rsid w:val="00025C78"/>
    <w:rsid w:val="000266E7"/>
    <w:rsid w:val="00026D13"/>
    <w:rsid w:val="00027FF5"/>
    <w:rsid w:val="00032C1D"/>
    <w:rsid w:val="000346A7"/>
    <w:rsid w:val="00035B1E"/>
    <w:rsid w:val="000368A2"/>
    <w:rsid w:val="000401C7"/>
    <w:rsid w:val="000407F9"/>
    <w:rsid w:val="00041DCB"/>
    <w:rsid w:val="0004431C"/>
    <w:rsid w:val="0004461F"/>
    <w:rsid w:val="00045B0D"/>
    <w:rsid w:val="00045F03"/>
    <w:rsid w:val="00046B43"/>
    <w:rsid w:val="00050A56"/>
    <w:rsid w:val="00051561"/>
    <w:rsid w:val="00053CC1"/>
    <w:rsid w:val="00054C5B"/>
    <w:rsid w:val="0005534C"/>
    <w:rsid w:val="000556C9"/>
    <w:rsid w:val="00060FA4"/>
    <w:rsid w:val="00063D83"/>
    <w:rsid w:val="00066DBF"/>
    <w:rsid w:val="00074954"/>
    <w:rsid w:val="00075F39"/>
    <w:rsid w:val="00075F4D"/>
    <w:rsid w:val="0007785F"/>
    <w:rsid w:val="000778BE"/>
    <w:rsid w:val="00082BDE"/>
    <w:rsid w:val="00082EAB"/>
    <w:rsid w:val="00082FE9"/>
    <w:rsid w:val="0008370F"/>
    <w:rsid w:val="00083D2D"/>
    <w:rsid w:val="000841C3"/>
    <w:rsid w:val="00084576"/>
    <w:rsid w:val="000848BD"/>
    <w:rsid w:val="0008511C"/>
    <w:rsid w:val="0008649C"/>
    <w:rsid w:val="000864A3"/>
    <w:rsid w:val="00091171"/>
    <w:rsid w:val="00091930"/>
    <w:rsid w:val="00092979"/>
    <w:rsid w:val="00094833"/>
    <w:rsid w:val="000964B3"/>
    <w:rsid w:val="000965C1"/>
    <w:rsid w:val="000A0615"/>
    <w:rsid w:val="000A1FF7"/>
    <w:rsid w:val="000A2C7A"/>
    <w:rsid w:val="000A35AF"/>
    <w:rsid w:val="000A4B81"/>
    <w:rsid w:val="000A530E"/>
    <w:rsid w:val="000A7DF5"/>
    <w:rsid w:val="000A7E7A"/>
    <w:rsid w:val="000B2A50"/>
    <w:rsid w:val="000B3F80"/>
    <w:rsid w:val="000B48F2"/>
    <w:rsid w:val="000B4A83"/>
    <w:rsid w:val="000B6BEE"/>
    <w:rsid w:val="000B703E"/>
    <w:rsid w:val="000C0767"/>
    <w:rsid w:val="000C0A64"/>
    <w:rsid w:val="000C3455"/>
    <w:rsid w:val="000C34E1"/>
    <w:rsid w:val="000C3BBA"/>
    <w:rsid w:val="000C4933"/>
    <w:rsid w:val="000C4BA1"/>
    <w:rsid w:val="000C54C6"/>
    <w:rsid w:val="000C5C88"/>
    <w:rsid w:val="000C63A4"/>
    <w:rsid w:val="000C784F"/>
    <w:rsid w:val="000C7C53"/>
    <w:rsid w:val="000D0862"/>
    <w:rsid w:val="000D1F50"/>
    <w:rsid w:val="000D3B33"/>
    <w:rsid w:val="000D3C84"/>
    <w:rsid w:val="000D4ADA"/>
    <w:rsid w:val="000D5BD2"/>
    <w:rsid w:val="000D6E57"/>
    <w:rsid w:val="000E04BA"/>
    <w:rsid w:val="000E0753"/>
    <w:rsid w:val="000E0920"/>
    <w:rsid w:val="000E0BF5"/>
    <w:rsid w:val="000E23E6"/>
    <w:rsid w:val="000E293C"/>
    <w:rsid w:val="000E3386"/>
    <w:rsid w:val="000E38B7"/>
    <w:rsid w:val="000E5032"/>
    <w:rsid w:val="000E5FE3"/>
    <w:rsid w:val="000F1F1B"/>
    <w:rsid w:val="000F2F1C"/>
    <w:rsid w:val="000F30ED"/>
    <w:rsid w:val="000F5434"/>
    <w:rsid w:val="00100131"/>
    <w:rsid w:val="00100A7C"/>
    <w:rsid w:val="00101BAD"/>
    <w:rsid w:val="00103418"/>
    <w:rsid w:val="00103470"/>
    <w:rsid w:val="00104741"/>
    <w:rsid w:val="00104D7C"/>
    <w:rsid w:val="0010637E"/>
    <w:rsid w:val="001114DC"/>
    <w:rsid w:val="00112986"/>
    <w:rsid w:val="00113E67"/>
    <w:rsid w:val="00117043"/>
    <w:rsid w:val="0012008E"/>
    <w:rsid w:val="001203F5"/>
    <w:rsid w:val="00122378"/>
    <w:rsid w:val="00124D13"/>
    <w:rsid w:val="00125E0F"/>
    <w:rsid w:val="0013133B"/>
    <w:rsid w:val="00132EF6"/>
    <w:rsid w:val="001350BF"/>
    <w:rsid w:val="001351B5"/>
    <w:rsid w:val="00136BC5"/>
    <w:rsid w:val="00137A13"/>
    <w:rsid w:val="00141641"/>
    <w:rsid w:val="0014231B"/>
    <w:rsid w:val="00143CF0"/>
    <w:rsid w:val="00147F28"/>
    <w:rsid w:val="001507C1"/>
    <w:rsid w:val="00150941"/>
    <w:rsid w:val="0015108F"/>
    <w:rsid w:val="0015116C"/>
    <w:rsid w:val="00152158"/>
    <w:rsid w:val="00152BAA"/>
    <w:rsid w:val="00153373"/>
    <w:rsid w:val="001544B3"/>
    <w:rsid w:val="00154ABB"/>
    <w:rsid w:val="00155800"/>
    <w:rsid w:val="00155B6A"/>
    <w:rsid w:val="001607B8"/>
    <w:rsid w:val="00162541"/>
    <w:rsid w:val="0016367D"/>
    <w:rsid w:val="001636BA"/>
    <w:rsid w:val="0016405B"/>
    <w:rsid w:val="0016515F"/>
    <w:rsid w:val="00165276"/>
    <w:rsid w:val="001658E2"/>
    <w:rsid w:val="001665F8"/>
    <w:rsid w:val="00166DD8"/>
    <w:rsid w:val="00166EF7"/>
    <w:rsid w:val="001707D7"/>
    <w:rsid w:val="00171F6D"/>
    <w:rsid w:val="00172A44"/>
    <w:rsid w:val="00173FD2"/>
    <w:rsid w:val="00174AC2"/>
    <w:rsid w:val="00176C7E"/>
    <w:rsid w:val="001773E9"/>
    <w:rsid w:val="00177A50"/>
    <w:rsid w:val="00180EAD"/>
    <w:rsid w:val="00181AC9"/>
    <w:rsid w:val="00183D3F"/>
    <w:rsid w:val="00183D6C"/>
    <w:rsid w:val="00184FBE"/>
    <w:rsid w:val="00186527"/>
    <w:rsid w:val="00187EEF"/>
    <w:rsid w:val="00191913"/>
    <w:rsid w:val="00191D92"/>
    <w:rsid w:val="001928A5"/>
    <w:rsid w:val="001961DD"/>
    <w:rsid w:val="0019650C"/>
    <w:rsid w:val="001A0C69"/>
    <w:rsid w:val="001A1C8E"/>
    <w:rsid w:val="001A1E5D"/>
    <w:rsid w:val="001A3F33"/>
    <w:rsid w:val="001A4B83"/>
    <w:rsid w:val="001A69D9"/>
    <w:rsid w:val="001A7ED2"/>
    <w:rsid w:val="001B099B"/>
    <w:rsid w:val="001B0EBC"/>
    <w:rsid w:val="001B19A7"/>
    <w:rsid w:val="001B45BB"/>
    <w:rsid w:val="001B4C0E"/>
    <w:rsid w:val="001C155D"/>
    <w:rsid w:val="001C272B"/>
    <w:rsid w:val="001C3F1C"/>
    <w:rsid w:val="001C4B8B"/>
    <w:rsid w:val="001C504A"/>
    <w:rsid w:val="001C79AC"/>
    <w:rsid w:val="001C7EA1"/>
    <w:rsid w:val="001D117B"/>
    <w:rsid w:val="001D1D81"/>
    <w:rsid w:val="001D25C7"/>
    <w:rsid w:val="001D3059"/>
    <w:rsid w:val="001D47ED"/>
    <w:rsid w:val="001D66A5"/>
    <w:rsid w:val="001D74C1"/>
    <w:rsid w:val="001D778B"/>
    <w:rsid w:val="001E090B"/>
    <w:rsid w:val="001E28C2"/>
    <w:rsid w:val="001E3856"/>
    <w:rsid w:val="001E3ED8"/>
    <w:rsid w:val="001E4124"/>
    <w:rsid w:val="001E47BE"/>
    <w:rsid w:val="001E535B"/>
    <w:rsid w:val="001E54D2"/>
    <w:rsid w:val="001F0074"/>
    <w:rsid w:val="001F031F"/>
    <w:rsid w:val="001F1A56"/>
    <w:rsid w:val="001F1CBD"/>
    <w:rsid w:val="001F28A1"/>
    <w:rsid w:val="001F34AA"/>
    <w:rsid w:val="001F3A4A"/>
    <w:rsid w:val="001F579B"/>
    <w:rsid w:val="0020058B"/>
    <w:rsid w:val="00201407"/>
    <w:rsid w:val="00201FCF"/>
    <w:rsid w:val="00205283"/>
    <w:rsid w:val="002060B3"/>
    <w:rsid w:val="00206207"/>
    <w:rsid w:val="002065B6"/>
    <w:rsid w:val="002073B0"/>
    <w:rsid w:val="0020745A"/>
    <w:rsid w:val="002074B7"/>
    <w:rsid w:val="002104B1"/>
    <w:rsid w:val="002112D6"/>
    <w:rsid w:val="002116D5"/>
    <w:rsid w:val="00212BE2"/>
    <w:rsid w:val="002144F8"/>
    <w:rsid w:val="002148AE"/>
    <w:rsid w:val="00215308"/>
    <w:rsid w:val="00215819"/>
    <w:rsid w:val="002159DB"/>
    <w:rsid w:val="00215F12"/>
    <w:rsid w:val="00216C27"/>
    <w:rsid w:val="002210E1"/>
    <w:rsid w:val="00221D63"/>
    <w:rsid w:val="0022281D"/>
    <w:rsid w:val="0022548B"/>
    <w:rsid w:val="00225AFF"/>
    <w:rsid w:val="00225B4A"/>
    <w:rsid w:val="002260D4"/>
    <w:rsid w:val="002274EB"/>
    <w:rsid w:val="00227835"/>
    <w:rsid w:val="00231B49"/>
    <w:rsid w:val="00232EBD"/>
    <w:rsid w:val="0023525F"/>
    <w:rsid w:val="00235331"/>
    <w:rsid w:val="00235A39"/>
    <w:rsid w:val="00235AA9"/>
    <w:rsid w:val="00236DFD"/>
    <w:rsid w:val="00237CAB"/>
    <w:rsid w:val="00241C85"/>
    <w:rsid w:val="00242533"/>
    <w:rsid w:val="002427FC"/>
    <w:rsid w:val="0024547C"/>
    <w:rsid w:val="002472FA"/>
    <w:rsid w:val="00250289"/>
    <w:rsid w:val="002504D3"/>
    <w:rsid w:val="002505F4"/>
    <w:rsid w:val="00252FD1"/>
    <w:rsid w:val="00253E3B"/>
    <w:rsid w:val="00254879"/>
    <w:rsid w:val="002557EA"/>
    <w:rsid w:val="00255E8B"/>
    <w:rsid w:val="00257EE9"/>
    <w:rsid w:val="002613CE"/>
    <w:rsid w:val="00262C09"/>
    <w:rsid w:val="00262D97"/>
    <w:rsid w:val="00265F4E"/>
    <w:rsid w:val="00266B13"/>
    <w:rsid w:val="00267779"/>
    <w:rsid w:val="0027156A"/>
    <w:rsid w:val="00271760"/>
    <w:rsid w:val="00272386"/>
    <w:rsid w:val="0027263B"/>
    <w:rsid w:val="00272B14"/>
    <w:rsid w:val="00272F8A"/>
    <w:rsid w:val="00274C41"/>
    <w:rsid w:val="00275892"/>
    <w:rsid w:val="00276036"/>
    <w:rsid w:val="0027680F"/>
    <w:rsid w:val="0027717D"/>
    <w:rsid w:val="00280B0C"/>
    <w:rsid w:val="00280EC7"/>
    <w:rsid w:val="002816BA"/>
    <w:rsid w:val="0028174F"/>
    <w:rsid w:val="002850F2"/>
    <w:rsid w:val="002855FC"/>
    <w:rsid w:val="00286789"/>
    <w:rsid w:val="0029118C"/>
    <w:rsid w:val="0029139E"/>
    <w:rsid w:val="00293AAD"/>
    <w:rsid w:val="00294D2D"/>
    <w:rsid w:val="002971D2"/>
    <w:rsid w:val="002A289B"/>
    <w:rsid w:val="002A377B"/>
    <w:rsid w:val="002B1AAA"/>
    <w:rsid w:val="002B3B81"/>
    <w:rsid w:val="002B42DE"/>
    <w:rsid w:val="002B47FC"/>
    <w:rsid w:val="002B5303"/>
    <w:rsid w:val="002B5361"/>
    <w:rsid w:val="002B5BD4"/>
    <w:rsid w:val="002B6D73"/>
    <w:rsid w:val="002B7674"/>
    <w:rsid w:val="002C0052"/>
    <w:rsid w:val="002C0F58"/>
    <w:rsid w:val="002C1306"/>
    <w:rsid w:val="002C29D4"/>
    <w:rsid w:val="002C37B9"/>
    <w:rsid w:val="002C483B"/>
    <w:rsid w:val="002C4880"/>
    <w:rsid w:val="002C5156"/>
    <w:rsid w:val="002C5BCD"/>
    <w:rsid w:val="002C6B59"/>
    <w:rsid w:val="002C75CC"/>
    <w:rsid w:val="002C775A"/>
    <w:rsid w:val="002C7FB5"/>
    <w:rsid w:val="002D0947"/>
    <w:rsid w:val="002D49CE"/>
    <w:rsid w:val="002D4FA2"/>
    <w:rsid w:val="002D5257"/>
    <w:rsid w:val="002D761D"/>
    <w:rsid w:val="002E17CF"/>
    <w:rsid w:val="002E2342"/>
    <w:rsid w:val="002E3E63"/>
    <w:rsid w:val="002E419E"/>
    <w:rsid w:val="002E4981"/>
    <w:rsid w:val="002E54A8"/>
    <w:rsid w:val="002E5EE7"/>
    <w:rsid w:val="002E73E8"/>
    <w:rsid w:val="002E76AE"/>
    <w:rsid w:val="002F04C3"/>
    <w:rsid w:val="002F09CD"/>
    <w:rsid w:val="002F2113"/>
    <w:rsid w:val="002F5A18"/>
    <w:rsid w:val="002F7619"/>
    <w:rsid w:val="0030025F"/>
    <w:rsid w:val="00300A12"/>
    <w:rsid w:val="00300AEA"/>
    <w:rsid w:val="003019B4"/>
    <w:rsid w:val="0030336B"/>
    <w:rsid w:val="00303AD0"/>
    <w:rsid w:val="003040DA"/>
    <w:rsid w:val="0030517C"/>
    <w:rsid w:val="00305560"/>
    <w:rsid w:val="00306207"/>
    <w:rsid w:val="0030796C"/>
    <w:rsid w:val="00310E65"/>
    <w:rsid w:val="003121B6"/>
    <w:rsid w:val="00313200"/>
    <w:rsid w:val="00316019"/>
    <w:rsid w:val="00316970"/>
    <w:rsid w:val="00320D17"/>
    <w:rsid w:val="003214CD"/>
    <w:rsid w:val="003217F3"/>
    <w:rsid w:val="0032414D"/>
    <w:rsid w:val="00327133"/>
    <w:rsid w:val="003301F3"/>
    <w:rsid w:val="00330E7B"/>
    <w:rsid w:val="003311B7"/>
    <w:rsid w:val="0033217A"/>
    <w:rsid w:val="00333AC4"/>
    <w:rsid w:val="00333CA3"/>
    <w:rsid w:val="00334FA8"/>
    <w:rsid w:val="003351E2"/>
    <w:rsid w:val="003356EA"/>
    <w:rsid w:val="00336EA1"/>
    <w:rsid w:val="00342655"/>
    <w:rsid w:val="003434BF"/>
    <w:rsid w:val="00343C07"/>
    <w:rsid w:val="00343EAA"/>
    <w:rsid w:val="00344218"/>
    <w:rsid w:val="00344E75"/>
    <w:rsid w:val="00345AF9"/>
    <w:rsid w:val="00346D0B"/>
    <w:rsid w:val="00347B9A"/>
    <w:rsid w:val="00350D1A"/>
    <w:rsid w:val="00351062"/>
    <w:rsid w:val="003519F3"/>
    <w:rsid w:val="00351B0A"/>
    <w:rsid w:val="00353636"/>
    <w:rsid w:val="003545FB"/>
    <w:rsid w:val="00357127"/>
    <w:rsid w:val="00357488"/>
    <w:rsid w:val="003610DD"/>
    <w:rsid w:val="00362452"/>
    <w:rsid w:val="00362CBF"/>
    <w:rsid w:val="0036486E"/>
    <w:rsid w:val="00370605"/>
    <w:rsid w:val="00370AAB"/>
    <w:rsid w:val="00370E12"/>
    <w:rsid w:val="003723FB"/>
    <w:rsid w:val="0037266B"/>
    <w:rsid w:val="00372A14"/>
    <w:rsid w:val="0037377B"/>
    <w:rsid w:val="003766F5"/>
    <w:rsid w:val="003772C0"/>
    <w:rsid w:val="00377FAA"/>
    <w:rsid w:val="00381A1B"/>
    <w:rsid w:val="003844F2"/>
    <w:rsid w:val="0038455E"/>
    <w:rsid w:val="00386FC9"/>
    <w:rsid w:val="003872B7"/>
    <w:rsid w:val="003905AD"/>
    <w:rsid w:val="003913A9"/>
    <w:rsid w:val="00391BAD"/>
    <w:rsid w:val="00391C71"/>
    <w:rsid w:val="00392AF7"/>
    <w:rsid w:val="0039452A"/>
    <w:rsid w:val="00396322"/>
    <w:rsid w:val="00396A7D"/>
    <w:rsid w:val="00397373"/>
    <w:rsid w:val="003975F4"/>
    <w:rsid w:val="003A1D6A"/>
    <w:rsid w:val="003A4E6F"/>
    <w:rsid w:val="003A607A"/>
    <w:rsid w:val="003A6D3C"/>
    <w:rsid w:val="003A7812"/>
    <w:rsid w:val="003B0639"/>
    <w:rsid w:val="003B1320"/>
    <w:rsid w:val="003B21B5"/>
    <w:rsid w:val="003B3C98"/>
    <w:rsid w:val="003B6F4F"/>
    <w:rsid w:val="003C1190"/>
    <w:rsid w:val="003C1498"/>
    <w:rsid w:val="003C1F2B"/>
    <w:rsid w:val="003C74D4"/>
    <w:rsid w:val="003D00EE"/>
    <w:rsid w:val="003D0B17"/>
    <w:rsid w:val="003D1ACC"/>
    <w:rsid w:val="003D2A45"/>
    <w:rsid w:val="003D2C40"/>
    <w:rsid w:val="003D2CA2"/>
    <w:rsid w:val="003D3006"/>
    <w:rsid w:val="003D33FE"/>
    <w:rsid w:val="003D3BEE"/>
    <w:rsid w:val="003E0C83"/>
    <w:rsid w:val="003E25BC"/>
    <w:rsid w:val="003E2B62"/>
    <w:rsid w:val="003E7BEF"/>
    <w:rsid w:val="003F1CDD"/>
    <w:rsid w:val="003F1EEA"/>
    <w:rsid w:val="003F320F"/>
    <w:rsid w:val="003F44D0"/>
    <w:rsid w:val="003F499D"/>
    <w:rsid w:val="003F4CF7"/>
    <w:rsid w:val="003F653D"/>
    <w:rsid w:val="003F6762"/>
    <w:rsid w:val="003F7071"/>
    <w:rsid w:val="00400889"/>
    <w:rsid w:val="004018A3"/>
    <w:rsid w:val="00403C18"/>
    <w:rsid w:val="00403CB0"/>
    <w:rsid w:val="00403D1C"/>
    <w:rsid w:val="004065F7"/>
    <w:rsid w:val="00407A6F"/>
    <w:rsid w:val="00407F07"/>
    <w:rsid w:val="00410DEC"/>
    <w:rsid w:val="00411151"/>
    <w:rsid w:val="004121CE"/>
    <w:rsid w:val="00413482"/>
    <w:rsid w:val="004200D8"/>
    <w:rsid w:val="0042092B"/>
    <w:rsid w:val="00421126"/>
    <w:rsid w:val="0042296F"/>
    <w:rsid w:val="00422B91"/>
    <w:rsid w:val="00422CBA"/>
    <w:rsid w:val="004230FF"/>
    <w:rsid w:val="00425A0B"/>
    <w:rsid w:val="004265ED"/>
    <w:rsid w:val="00426660"/>
    <w:rsid w:val="00426942"/>
    <w:rsid w:val="0043004B"/>
    <w:rsid w:val="004302C3"/>
    <w:rsid w:val="00430522"/>
    <w:rsid w:val="00432833"/>
    <w:rsid w:val="004348BB"/>
    <w:rsid w:val="00435543"/>
    <w:rsid w:val="00435B77"/>
    <w:rsid w:val="00436C5D"/>
    <w:rsid w:val="0043707D"/>
    <w:rsid w:val="00437D4A"/>
    <w:rsid w:val="004403F0"/>
    <w:rsid w:val="0044056B"/>
    <w:rsid w:val="00441489"/>
    <w:rsid w:val="00443507"/>
    <w:rsid w:val="00444735"/>
    <w:rsid w:val="0044521C"/>
    <w:rsid w:val="00445501"/>
    <w:rsid w:val="00445776"/>
    <w:rsid w:val="00445E4E"/>
    <w:rsid w:val="00450051"/>
    <w:rsid w:val="00450613"/>
    <w:rsid w:val="00450761"/>
    <w:rsid w:val="00450C61"/>
    <w:rsid w:val="004515E6"/>
    <w:rsid w:val="00454042"/>
    <w:rsid w:val="00454D5A"/>
    <w:rsid w:val="00455E7A"/>
    <w:rsid w:val="00456530"/>
    <w:rsid w:val="0045695E"/>
    <w:rsid w:val="00456CE4"/>
    <w:rsid w:val="0046033A"/>
    <w:rsid w:val="004609AB"/>
    <w:rsid w:val="00462330"/>
    <w:rsid w:val="00462BD1"/>
    <w:rsid w:val="004637F8"/>
    <w:rsid w:val="0046463F"/>
    <w:rsid w:val="00464A3C"/>
    <w:rsid w:val="004667BD"/>
    <w:rsid w:val="00471632"/>
    <w:rsid w:val="00473682"/>
    <w:rsid w:val="004738E4"/>
    <w:rsid w:val="00474A87"/>
    <w:rsid w:val="00474DE6"/>
    <w:rsid w:val="0047541C"/>
    <w:rsid w:val="00476C2C"/>
    <w:rsid w:val="00476C2E"/>
    <w:rsid w:val="00477BCF"/>
    <w:rsid w:val="00480303"/>
    <w:rsid w:val="004860CC"/>
    <w:rsid w:val="004905B5"/>
    <w:rsid w:val="00490A7C"/>
    <w:rsid w:val="00491C97"/>
    <w:rsid w:val="00494AB8"/>
    <w:rsid w:val="004A28F5"/>
    <w:rsid w:val="004A3145"/>
    <w:rsid w:val="004A6953"/>
    <w:rsid w:val="004A7C40"/>
    <w:rsid w:val="004B0979"/>
    <w:rsid w:val="004B200C"/>
    <w:rsid w:val="004B31D7"/>
    <w:rsid w:val="004B39C1"/>
    <w:rsid w:val="004B5356"/>
    <w:rsid w:val="004B5450"/>
    <w:rsid w:val="004B59DB"/>
    <w:rsid w:val="004B5ADC"/>
    <w:rsid w:val="004B7509"/>
    <w:rsid w:val="004B7BDC"/>
    <w:rsid w:val="004C185F"/>
    <w:rsid w:val="004D2947"/>
    <w:rsid w:val="004D2A16"/>
    <w:rsid w:val="004D3CDF"/>
    <w:rsid w:val="004D4B75"/>
    <w:rsid w:val="004D5447"/>
    <w:rsid w:val="004D5B50"/>
    <w:rsid w:val="004D684B"/>
    <w:rsid w:val="004E0B05"/>
    <w:rsid w:val="004E3D95"/>
    <w:rsid w:val="004E61DF"/>
    <w:rsid w:val="004E6360"/>
    <w:rsid w:val="004F0453"/>
    <w:rsid w:val="004F151B"/>
    <w:rsid w:val="004F2A65"/>
    <w:rsid w:val="004F3B95"/>
    <w:rsid w:val="004F48D2"/>
    <w:rsid w:val="004F4914"/>
    <w:rsid w:val="004F49BA"/>
    <w:rsid w:val="004F4D9F"/>
    <w:rsid w:val="004F5128"/>
    <w:rsid w:val="004F5597"/>
    <w:rsid w:val="004F63AA"/>
    <w:rsid w:val="004F6FA9"/>
    <w:rsid w:val="00502AE2"/>
    <w:rsid w:val="005042FF"/>
    <w:rsid w:val="0050531F"/>
    <w:rsid w:val="005071E5"/>
    <w:rsid w:val="00512F75"/>
    <w:rsid w:val="00513636"/>
    <w:rsid w:val="0051467B"/>
    <w:rsid w:val="00514826"/>
    <w:rsid w:val="005152EA"/>
    <w:rsid w:val="0051738C"/>
    <w:rsid w:val="005221BA"/>
    <w:rsid w:val="00522AB1"/>
    <w:rsid w:val="005237D2"/>
    <w:rsid w:val="00524636"/>
    <w:rsid w:val="005247B8"/>
    <w:rsid w:val="005269C1"/>
    <w:rsid w:val="00526B51"/>
    <w:rsid w:val="005309AC"/>
    <w:rsid w:val="00531533"/>
    <w:rsid w:val="00531906"/>
    <w:rsid w:val="00531E56"/>
    <w:rsid w:val="00532468"/>
    <w:rsid w:val="00532534"/>
    <w:rsid w:val="00533B4A"/>
    <w:rsid w:val="00534634"/>
    <w:rsid w:val="00535837"/>
    <w:rsid w:val="005372B0"/>
    <w:rsid w:val="00537A36"/>
    <w:rsid w:val="00540322"/>
    <w:rsid w:val="00543D2E"/>
    <w:rsid w:val="0054618D"/>
    <w:rsid w:val="00546316"/>
    <w:rsid w:val="005468B2"/>
    <w:rsid w:val="00550A69"/>
    <w:rsid w:val="0055164B"/>
    <w:rsid w:val="00551753"/>
    <w:rsid w:val="00551834"/>
    <w:rsid w:val="0055188F"/>
    <w:rsid w:val="00551AEF"/>
    <w:rsid w:val="00552C06"/>
    <w:rsid w:val="0055379E"/>
    <w:rsid w:val="00553914"/>
    <w:rsid w:val="005548B3"/>
    <w:rsid w:val="00554970"/>
    <w:rsid w:val="0055527C"/>
    <w:rsid w:val="00555D15"/>
    <w:rsid w:val="005567ED"/>
    <w:rsid w:val="0055681E"/>
    <w:rsid w:val="00562A3A"/>
    <w:rsid w:val="00563F65"/>
    <w:rsid w:val="005662DE"/>
    <w:rsid w:val="0056687A"/>
    <w:rsid w:val="005704B7"/>
    <w:rsid w:val="00572E16"/>
    <w:rsid w:val="005759A4"/>
    <w:rsid w:val="005776DB"/>
    <w:rsid w:val="005777C1"/>
    <w:rsid w:val="0058156A"/>
    <w:rsid w:val="00582ECC"/>
    <w:rsid w:val="00584C63"/>
    <w:rsid w:val="00584DAC"/>
    <w:rsid w:val="0058529B"/>
    <w:rsid w:val="0058593D"/>
    <w:rsid w:val="00587CAA"/>
    <w:rsid w:val="00591013"/>
    <w:rsid w:val="00592050"/>
    <w:rsid w:val="00592479"/>
    <w:rsid w:val="00592C84"/>
    <w:rsid w:val="005931CB"/>
    <w:rsid w:val="005933E7"/>
    <w:rsid w:val="00593BF0"/>
    <w:rsid w:val="00594824"/>
    <w:rsid w:val="00594E55"/>
    <w:rsid w:val="005957A7"/>
    <w:rsid w:val="00595C79"/>
    <w:rsid w:val="00596353"/>
    <w:rsid w:val="00596862"/>
    <w:rsid w:val="00596C5C"/>
    <w:rsid w:val="00597124"/>
    <w:rsid w:val="005A109A"/>
    <w:rsid w:val="005A1984"/>
    <w:rsid w:val="005A29F6"/>
    <w:rsid w:val="005A333B"/>
    <w:rsid w:val="005A37B2"/>
    <w:rsid w:val="005A70F1"/>
    <w:rsid w:val="005A720D"/>
    <w:rsid w:val="005A768F"/>
    <w:rsid w:val="005A7D1D"/>
    <w:rsid w:val="005B115A"/>
    <w:rsid w:val="005B1505"/>
    <w:rsid w:val="005B1D6C"/>
    <w:rsid w:val="005B1E8D"/>
    <w:rsid w:val="005B29B3"/>
    <w:rsid w:val="005B401C"/>
    <w:rsid w:val="005B460F"/>
    <w:rsid w:val="005B5F95"/>
    <w:rsid w:val="005B7E4C"/>
    <w:rsid w:val="005C26A8"/>
    <w:rsid w:val="005C2BE3"/>
    <w:rsid w:val="005C471F"/>
    <w:rsid w:val="005C49FE"/>
    <w:rsid w:val="005C4CBE"/>
    <w:rsid w:val="005C557A"/>
    <w:rsid w:val="005C5E58"/>
    <w:rsid w:val="005C6E80"/>
    <w:rsid w:val="005D08C7"/>
    <w:rsid w:val="005D2C9A"/>
    <w:rsid w:val="005D3202"/>
    <w:rsid w:val="005D4E2E"/>
    <w:rsid w:val="005D5F0F"/>
    <w:rsid w:val="005D6F61"/>
    <w:rsid w:val="005D7CAA"/>
    <w:rsid w:val="005E1FCE"/>
    <w:rsid w:val="005E2313"/>
    <w:rsid w:val="005E4746"/>
    <w:rsid w:val="005E5875"/>
    <w:rsid w:val="005E7D56"/>
    <w:rsid w:val="005F0009"/>
    <w:rsid w:val="005F211F"/>
    <w:rsid w:val="005F2517"/>
    <w:rsid w:val="005F31CF"/>
    <w:rsid w:val="005F37CE"/>
    <w:rsid w:val="005F4947"/>
    <w:rsid w:val="005F5C43"/>
    <w:rsid w:val="005F5F60"/>
    <w:rsid w:val="005F60F4"/>
    <w:rsid w:val="00600E4A"/>
    <w:rsid w:val="006013CA"/>
    <w:rsid w:val="0060287D"/>
    <w:rsid w:val="00604CEB"/>
    <w:rsid w:val="006053FD"/>
    <w:rsid w:val="0060736F"/>
    <w:rsid w:val="006079A3"/>
    <w:rsid w:val="00611042"/>
    <w:rsid w:val="0061338E"/>
    <w:rsid w:val="00615579"/>
    <w:rsid w:val="00615747"/>
    <w:rsid w:val="00615B3C"/>
    <w:rsid w:val="00615BD4"/>
    <w:rsid w:val="0062007C"/>
    <w:rsid w:val="0062231B"/>
    <w:rsid w:val="00622674"/>
    <w:rsid w:val="00622990"/>
    <w:rsid w:val="006231CB"/>
    <w:rsid w:val="006232B0"/>
    <w:rsid w:val="00623B94"/>
    <w:rsid w:val="00623C10"/>
    <w:rsid w:val="00623E69"/>
    <w:rsid w:val="0062419E"/>
    <w:rsid w:val="00624ADF"/>
    <w:rsid w:val="00625012"/>
    <w:rsid w:val="00625A8F"/>
    <w:rsid w:val="00626FD3"/>
    <w:rsid w:val="0062736D"/>
    <w:rsid w:val="006314FA"/>
    <w:rsid w:val="00631EF8"/>
    <w:rsid w:val="0063221C"/>
    <w:rsid w:val="0063222F"/>
    <w:rsid w:val="00633496"/>
    <w:rsid w:val="006338E1"/>
    <w:rsid w:val="00633CAF"/>
    <w:rsid w:val="006364E5"/>
    <w:rsid w:val="00636975"/>
    <w:rsid w:val="00637371"/>
    <w:rsid w:val="006378C5"/>
    <w:rsid w:val="00640359"/>
    <w:rsid w:val="006404A5"/>
    <w:rsid w:val="00642612"/>
    <w:rsid w:val="00643BC0"/>
    <w:rsid w:val="0064574E"/>
    <w:rsid w:val="00645C7A"/>
    <w:rsid w:val="00647F65"/>
    <w:rsid w:val="00650268"/>
    <w:rsid w:val="006524DC"/>
    <w:rsid w:val="006530D1"/>
    <w:rsid w:val="00654003"/>
    <w:rsid w:val="00654914"/>
    <w:rsid w:val="00654BD5"/>
    <w:rsid w:val="006565DC"/>
    <w:rsid w:val="00656624"/>
    <w:rsid w:val="0066195C"/>
    <w:rsid w:val="00661EC4"/>
    <w:rsid w:val="006622E6"/>
    <w:rsid w:val="00663027"/>
    <w:rsid w:val="006642E3"/>
    <w:rsid w:val="00664D05"/>
    <w:rsid w:val="006650E7"/>
    <w:rsid w:val="00665A05"/>
    <w:rsid w:val="00665F25"/>
    <w:rsid w:val="0066603E"/>
    <w:rsid w:val="00666A5E"/>
    <w:rsid w:val="00666B19"/>
    <w:rsid w:val="00666EAF"/>
    <w:rsid w:val="00667D5B"/>
    <w:rsid w:val="00667DE7"/>
    <w:rsid w:val="00671E60"/>
    <w:rsid w:val="0067281F"/>
    <w:rsid w:val="00672D2E"/>
    <w:rsid w:val="00673256"/>
    <w:rsid w:val="00673994"/>
    <w:rsid w:val="006761D6"/>
    <w:rsid w:val="006767E2"/>
    <w:rsid w:val="0068064B"/>
    <w:rsid w:val="00680938"/>
    <w:rsid w:val="00680D5A"/>
    <w:rsid w:val="00680DF5"/>
    <w:rsid w:val="0068123D"/>
    <w:rsid w:val="006818BE"/>
    <w:rsid w:val="00681986"/>
    <w:rsid w:val="00682047"/>
    <w:rsid w:val="0068264F"/>
    <w:rsid w:val="00682F17"/>
    <w:rsid w:val="006835C0"/>
    <w:rsid w:val="00684521"/>
    <w:rsid w:val="006845E2"/>
    <w:rsid w:val="00684ADD"/>
    <w:rsid w:val="00685F6C"/>
    <w:rsid w:val="00686C73"/>
    <w:rsid w:val="006912FF"/>
    <w:rsid w:val="00692545"/>
    <w:rsid w:val="00692E57"/>
    <w:rsid w:val="006939FC"/>
    <w:rsid w:val="00694F04"/>
    <w:rsid w:val="0069598E"/>
    <w:rsid w:val="00697C94"/>
    <w:rsid w:val="006A09AB"/>
    <w:rsid w:val="006A1C9E"/>
    <w:rsid w:val="006A1D48"/>
    <w:rsid w:val="006A35D6"/>
    <w:rsid w:val="006A40DB"/>
    <w:rsid w:val="006B27A0"/>
    <w:rsid w:val="006B455E"/>
    <w:rsid w:val="006B47B8"/>
    <w:rsid w:val="006B5C7B"/>
    <w:rsid w:val="006B7A43"/>
    <w:rsid w:val="006B7F6E"/>
    <w:rsid w:val="006C013C"/>
    <w:rsid w:val="006C04CF"/>
    <w:rsid w:val="006C1292"/>
    <w:rsid w:val="006C1E60"/>
    <w:rsid w:val="006C28DE"/>
    <w:rsid w:val="006C51C2"/>
    <w:rsid w:val="006C56B9"/>
    <w:rsid w:val="006C6305"/>
    <w:rsid w:val="006C66C2"/>
    <w:rsid w:val="006D1445"/>
    <w:rsid w:val="006D1DE6"/>
    <w:rsid w:val="006D2A43"/>
    <w:rsid w:val="006D4313"/>
    <w:rsid w:val="006D53B9"/>
    <w:rsid w:val="006D5619"/>
    <w:rsid w:val="006D5AE8"/>
    <w:rsid w:val="006D6316"/>
    <w:rsid w:val="006E044D"/>
    <w:rsid w:val="006E1D7C"/>
    <w:rsid w:val="006E1EC4"/>
    <w:rsid w:val="006E22B6"/>
    <w:rsid w:val="006E2DD1"/>
    <w:rsid w:val="006E484E"/>
    <w:rsid w:val="006E4936"/>
    <w:rsid w:val="006E4A21"/>
    <w:rsid w:val="006E5C7F"/>
    <w:rsid w:val="006E6139"/>
    <w:rsid w:val="006E61A3"/>
    <w:rsid w:val="006E6455"/>
    <w:rsid w:val="006E75E6"/>
    <w:rsid w:val="006E7752"/>
    <w:rsid w:val="006F15C4"/>
    <w:rsid w:val="006F3D21"/>
    <w:rsid w:val="006F4763"/>
    <w:rsid w:val="006F4859"/>
    <w:rsid w:val="006F5499"/>
    <w:rsid w:val="006F56D9"/>
    <w:rsid w:val="006F667E"/>
    <w:rsid w:val="006F6A6B"/>
    <w:rsid w:val="006F70F3"/>
    <w:rsid w:val="0070156E"/>
    <w:rsid w:val="00703EFA"/>
    <w:rsid w:val="0070562A"/>
    <w:rsid w:val="00705977"/>
    <w:rsid w:val="00705E99"/>
    <w:rsid w:val="0070794E"/>
    <w:rsid w:val="0071035B"/>
    <w:rsid w:val="00716AA8"/>
    <w:rsid w:val="00716D20"/>
    <w:rsid w:val="0071733D"/>
    <w:rsid w:val="007175EC"/>
    <w:rsid w:val="0071799C"/>
    <w:rsid w:val="00720AB9"/>
    <w:rsid w:val="00730708"/>
    <w:rsid w:val="00730A5E"/>
    <w:rsid w:val="00731836"/>
    <w:rsid w:val="00732927"/>
    <w:rsid w:val="00732A03"/>
    <w:rsid w:val="00734079"/>
    <w:rsid w:val="007353B4"/>
    <w:rsid w:val="007354F5"/>
    <w:rsid w:val="00736313"/>
    <w:rsid w:val="0073757E"/>
    <w:rsid w:val="00740C6F"/>
    <w:rsid w:val="00740CB6"/>
    <w:rsid w:val="00742B29"/>
    <w:rsid w:val="00744A84"/>
    <w:rsid w:val="00751D29"/>
    <w:rsid w:val="007525E3"/>
    <w:rsid w:val="00752DEB"/>
    <w:rsid w:val="0075305E"/>
    <w:rsid w:val="00753A48"/>
    <w:rsid w:val="007547C7"/>
    <w:rsid w:val="00756EA3"/>
    <w:rsid w:val="00757280"/>
    <w:rsid w:val="00757756"/>
    <w:rsid w:val="00757EB8"/>
    <w:rsid w:val="007606D2"/>
    <w:rsid w:val="0076084D"/>
    <w:rsid w:val="007611E1"/>
    <w:rsid w:val="0076138A"/>
    <w:rsid w:val="00761E5D"/>
    <w:rsid w:val="0076219D"/>
    <w:rsid w:val="00762779"/>
    <w:rsid w:val="007629DF"/>
    <w:rsid w:val="00764853"/>
    <w:rsid w:val="00766427"/>
    <w:rsid w:val="00766807"/>
    <w:rsid w:val="007706A1"/>
    <w:rsid w:val="00771456"/>
    <w:rsid w:val="007726DC"/>
    <w:rsid w:val="00772B94"/>
    <w:rsid w:val="00772C72"/>
    <w:rsid w:val="00774547"/>
    <w:rsid w:val="00774DC0"/>
    <w:rsid w:val="00774DCF"/>
    <w:rsid w:val="0077518F"/>
    <w:rsid w:val="007759E0"/>
    <w:rsid w:val="00776469"/>
    <w:rsid w:val="007770FB"/>
    <w:rsid w:val="00777754"/>
    <w:rsid w:val="00780561"/>
    <w:rsid w:val="00781E8A"/>
    <w:rsid w:val="00782851"/>
    <w:rsid w:val="007833DD"/>
    <w:rsid w:val="00784B6A"/>
    <w:rsid w:val="00785D14"/>
    <w:rsid w:val="00785E71"/>
    <w:rsid w:val="0078695A"/>
    <w:rsid w:val="00790791"/>
    <w:rsid w:val="00790CDE"/>
    <w:rsid w:val="00792343"/>
    <w:rsid w:val="00792953"/>
    <w:rsid w:val="00792DEB"/>
    <w:rsid w:val="0079404D"/>
    <w:rsid w:val="00795E37"/>
    <w:rsid w:val="00796EAA"/>
    <w:rsid w:val="00797654"/>
    <w:rsid w:val="00797BDA"/>
    <w:rsid w:val="007A17B8"/>
    <w:rsid w:val="007A25DD"/>
    <w:rsid w:val="007A25EE"/>
    <w:rsid w:val="007A472B"/>
    <w:rsid w:val="007A7B2E"/>
    <w:rsid w:val="007B25D3"/>
    <w:rsid w:val="007B36A0"/>
    <w:rsid w:val="007B5842"/>
    <w:rsid w:val="007B683B"/>
    <w:rsid w:val="007C18B8"/>
    <w:rsid w:val="007C1C0C"/>
    <w:rsid w:val="007C1DF2"/>
    <w:rsid w:val="007C236E"/>
    <w:rsid w:val="007C2482"/>
    <w:rsid w:val="007C601D"/>
    <w:rsid w:val="007C63D4"/>
    <w:rsid w:val="007C6933"/>
    <w:rsid w:val="007C73FD"/>
    <w:rsid w:val="007D2107"/>
    <w:rsid w:val="007D250A"/>
    <w:rsid w:val="007D2752"/>
    <w:rsid w:val="007D288B"/>
    <w:rsid w:val="007D31E2"/>
    <w:rsid w:val="007D4BC7"/>
    <w:rsid w:val="007D4CCB"/>
    <w:rsid w:val="007D5596"/>
    <w:rsid w:val="007D5A56"/>
    <w:rsid w:val="007D6F3A"/>
    <w:rsid w:val="007E00A6"/>
    <w:rsid w:val="007E088B"/>
    <w:rsid w:val="007E2F53"/>
    <w:rsid w:val="007E6A58"/>
    <w:rsid w:val="007E6E3E"/>
    <w:rsid w:val="007E73E2"/>
    <w:rsid w:val="007E7D1A"/>
    <w:rsid w:val="007F03FE"/>
    <w:rsid w:val="007F081F"/>
    <w:rsid w:val="007F1D38"/>
    <w:rsid w:val="007F2375"/>
    <w:rsid w:val="008006CA"/>
    <w:rsid w:val="0080088F"/>
    <w:rsid w:val="00800B20"/>
    <w:rsid w:val="00803D8A"/>
    <w:rsid w:val="0080411F"/>
    <w:rsid w:val="00804541"/>
    <w:rsid w:val="00804C80"/>
    <w:rsid w:val="00806CF6"/>
    <w:rsid w:val="008071B6"/>
    <w:rsid w:val="008075A4"/>
    <w:rsid w:val="008106D0"/>
    <w:rsid w:val="00810C2A"/>
    <w:rsid w:val="00812E79"/>
    <w:rsid w:val="008138FF"/>
    <w:rsid w:val="00814086"/>
    <w:rsid w:val="00815433"/>
    <w:rsid w:val="008157B4"/>
    <w:rsid w:val="00817737"/>
    <w:rsid w:val="00821F2A"/>
    <w:rsid w:val="00822657"/>
    <w:rsid w:val="00823DDE"/>
    <w:rsid w:val="00824C7D"/>
    <w:rsid w:val="00824FB6"/>
    <w:rsid w:val="00825DA9"/>
    <w:rsid w:val="008268B9"/>
    <w:rsid w:val="0082765E"/>
    <w:rsid w:val="00830F08"/>
    <w:rsid w:val="00832C1D"/>
    <w:rsid w:val="0083375E"/>
    <w:rsid w:val="00835C53"/>
    <w:rsid w:val="00845714"/>
    <w:rsid w:val="00845CE1"/>
    <w:rsid w:val="00847614"/>
    <w:rsid w:val="008503C4"/>
    <w:rsid w:val="008519F2"/>
    <w:rsid w:val="00851E7A"/>
    <w:rsid w:val="00852241"/>
    <w:rsid w:val="00854BF0"/>
    <w:rsid w:val="0085511E"/>
    <w:rsid w:val="00855D04"/>
    <w:rsid w:val="00856BF1"/>
    <w:rsid w:val="00856FA8"/>
    <w:rsid w:val="008621D9"/>
    <w:rsid w:val="008625AE"/>
    <w:rsid w:val="008629C2"/>
    <w:rsid w:val="00871666"/>
    <w:rsid w:val="00872297"/>
    <w:rsid w:val="00873165"/>
    <w:rsid w:val="00873DD0"/>
    <w:rsid w:val="00881BA5"/>
    <w:rsid w:val="00882E88"/>
    <w:rsid w:val="008831E4"/>
    <w:rsid w:val="00883279"/>
    <w:rsid w:val="0088497B"/>
    <w:rsid w:val="00885093"/>
    <w:rsid w:val="00885B7A"/>
    <w:rsid w:val="00886F06"/>
    <w:rsid w:val="00887988"/>
    <w:rsid w:val="00891DE1"/>
    <w:rsid w:val="00892D27"/>
    <w:rsid w:val="008949A8"/>
    <w:rsid w:val="008955BB"/>
    <w:rsid w:val="00896036"/>
    <w:rsid w:val="0089642D"/>
    <w:rsid w:val="008A0D63"/>
    <w:rsid w:val="008A23BC"/>
    <w:rsid w:val="008A2C46"/>
    <w:rsid w:val="008A3570"/>
    <w:rsid w:val="008A3BA2"/>
    <w:rsid w:val="008A3D88"/>
    <w:rsid w:val="008A3F98"/>
    <w:rsid w:val="008A4442"/>
    <w:rsid w:val="008A6D1D"/>
    <w:rsid w:val="008A7E2E"/>
    <w:rsid w:val="008B079D"/>
    <w:rsid w:val="008B101F"/>
    <w:rsid w:val="008B174C"/>
    <w:rsid w:val="008B53F9"/>
    <w:rsid w:val="008B5FD0"/>
    <w:rsid w:val="008B7293"/>
    <w:rsid w:val="008B7E63"/>
    <w:rsid w:val="008C0460"/>
    <w:rsid w:val="008C08A6"/>
    <w:rsid w:val="008C205B"/>
    <w:rsid w:val="008C2B7B"/>
    <w:rsid w:val="008C3D55"/>
    <w:rsid w:val="008C59AB"/>
    <w:rsid w:val="008C5B78"/>
    <w:rsid w:val="008C6876"/>
    <w:rsid w:val="008C6C1E"/>
    <w:rsid w:val="008C710F"/>
    <w:rsid w:val="008C7DC4"/>
    <w:rsid w:val="008D1C76"/>
    <w:rsid w:val="008D3497"/>
    <w:rsid w:val="008D4721"/>
    <w:rsid w:val="008D4854"/>
    <w:rsid w:val="008D536C"/>
    <w:rsid w:val="008D562A"/>
    <w:rsid w:val="008D56EF"/>
    <w:rsid w:val="008E1C0B"/>
    <w:rsid w:val="008E1E00"/>
    <w:rsid w:val="008E2710"/>
    <w:rsid w:val="008E2F11"/>
    <w:rsid w:val="008E2F5D"/>
    <w:rsid w:val="008E4387"/>
    <w:rsid w:val="008E7A58"/>
    <w:rsid w:val="008F0F3F"/>
    <w:rsid w:val="008F14AA"/>
    <w:rsid w:val="008F33AF"/>
    <w:rsid w:val="008F5280"/>
    <w:rsid w:val="008F59B0"/>
    <w:rsid w:val="008F62CD"/>
    <w:rsid w:val="008F6DA0"/>
    <w:rsid w:val="008F6F2D"/>
    <w:rsid w:val="008F71F5"/>
    <w:rsid w:val="008F722B"/>
    <w:rsid w:val="008F7786"/>
    <w:rsid w:val="008F7C7D"/>
    <w:rsid w:val="00901F1C"/>
    <w:rsid w:val="0090438E"/>
    <w:rsid w:val="0090447F"/>
    <w:rsid w:val="00906B7B"/>
    <w:rsid w:val="00907EE8"/>
    <w:rsid w:val="00911502"/>
    <w:rsid w:val="0091250D"/>
    <w:rsid w:val="009125BE"/>
    <w:rsid w:val="00912762"/>
    <w:rsid w:val="00912842"/>
    <w:rsid w:val="00913299"/>
    <w:rsid w:val="009147AD"/>
    <w:rsid w:val="00914F58"/>
    <w:rsid w:val="009159FA"/>
    <w:rsid w:val="00916245"/>
    <w:rsid w:val="00917093"/>
    <w:rsid w:val="009174B9"/>
    <w:rsid w:val="00917B3C"/>
    <w:rsid w:val="00917EC9"/>
    <w:rsid w:val="00922BA4"/>
    <w:rsid w:val="00924987"/>
    <w:rsid w:val="0092584A"/>
    <w:rsid w:val="00925C87"/>
    <w:rsid w:val="00926A54"/>
    <w:rsid w:val="009301F7"/>
    <w:rsid w:val="00931654"/>
    <w:rsid w:val="00932DA3"/>
    <w:rsid w:val="009337C0"/>
    <w:rsid w:val="009347BA"/>
    <w:rsid w:val="00935328"/>
    <w:rsid w:val="00935B67"/>
    <w:rsid w:val="00940BA1"/>
    <w:rsid w:val="009436AB"/>
    <w:rsid w:val="00943B0F"/>
    <w:rsid w:val="00945DAF"/>
    <w:rsid w:val="00945FA0"/>
    <w:rsid w:val="009473A7"/>
    <w:rsid w:val="009530D0"/>
    <w:rsid w:val="0095320B"/>
    <w:rsid w:val="00953AF9"/>
    <w:rsid w:val="00955C31"/>
    <w:rsid w:val="00955D7A"/>
    <w:rsid w:val="009562B9"/>
    <w:rsid w:val="00960BE7"/>
    <w:rsid w:val="009614E4"/>
    <w:rsid w:val="00962150"/>
    <w:rsid w:val="009624A2"/>
    <w:rsid w:val="00963E03"/>
    <w:rsid w:val="00964D29"/>
    <w:rsid w:val="0096559A"/>
    <w:rsid w:val="00965AAE"/>
    <w:rsid w:val="00965FE6"/>
    <w:rsid w:val="00966003"/>
    <w:rsid w:val="009706F2"/>
    <w:rsid w:val="009721A0"/>
    <w:rsid w:val="009729E6"/>
    <w:rsid w:val="0097359F"/>
    <w:rsid w:val="00974121"/>
    <w:rsid w:val="00974130"/>
    <w:rsid w:val="00974A13"/>
    <w:rsid w:val="00975DE4"/>
    <w:rsid w:val="0097636E"/>
    <w:rsid w:val="00980759"/>
    <w:rsid w:val="00980C4C"/>
    <w:rsid w:val="00980DE4"/>
    <w:rsid w:val="00982047"/>
    <w:rsid w:val="00983B10"/>
    <w:rsid w:val="009858A8"/>
    <w:rsid w:val="00985CDA"/>
    <w:rsid w:val="00985D1A"/>
    <w:rsid w:val="009879AF"/>
    <w:rsid w:val="00987B5C"/>
    <w:rsid w:val="00991D1C"/>
    <w:rsid w:val="00992819"/>
    <w:rsid w:val="00993A80"/>
    <w:rsid w:val="00996ED0"/>
    <w:rsid w:val="00997EEE"/>
    <w:rsid w:val="009A132B"/>
    <w:rsid w:val="009A1FDE"/>
    <w:rsid w:val="009A287A"/>
    <w:rsid w:val="009A3FC3"/>
    <w:rsid w:val="009A419D"/>
    <w:rsid w:val="009A47F3"/>
    <w:rsid w:val="009A7EAD"/>
    <w:rsid w:val="009B2F0D"/>
    <w:rsid w:val="009B33B6"/>
    <w:rsid w:val="009B36DA"/>
    <w:rsid w:val="009B556D"/>
    <w:rsid w:val="009B5887"/>
    <w:rsid w:val="009B651B"/>
    <w:rsid w:val="009C0537"/>
    <w:rsid w:val="009C191A"/>
    <w:rsid w:val="009C1F3F"/>
    <w:rsid w:val="009C3414"/>
    <w:rsid w:val="009C3B1C"/>
    <w:rsid w:val="009C4C79"/>
    <w:rsid w:val="009C5168"/>
    <w:rsid w:val="009C5ADF"/>
    <w:rsid w:val="009D17E2"/>
    <w:rsid w:val="009D3DC1"/>
    <w:rsid w:val="009D649E"/>
    <w:rsid w:val="009E2E68"/>
    <w:rsid w:val="009E3823"/>
    <w:rsid w:val="009E3E2C"/>
    <w:rsid w:val="009E6DAF"/>
    <w:rsid w:val="009E704D"/>
    <w:rsid w:val="009E739C"/>
    <w:rsid w:val="009F02B5"/>
    <w:rsid w:val="009F08B0"/>
    <w:rsid w:val="009F2333"/>
    <w:rsid w:val="009F28EB"/>
    <w:rsid w:val="009F47AA"/>
    <w:rsid w:val="009F4B5A"/>
    <w:rsid w:val="009F4F6F"/>
    <w:rsid w:val="00A0055B"/>
    <w:rsid w:val="00A04195"/>
    <w:rsid w:val="00A0468F"/>
    <w:rsid w:val="00A0504F"/>
    <w:rsid w:val="00A05BCE"/>
    <w:rsid w:val="00A06735"/>
    <w:rsid w:val="00A0759A"/>
    <w:rsid w:val="00A07D6A"/>
    <w:rsid w:val="00A10FCB"/>
    <w:rsid w:val="00A114CB"/>
    <w:rsid w:val="00A13482"/>
    <w:rsid w:val="00A134AD"/>
    <w:rsid w:val="00A143F8"/>
    <w:rsid w:val="00A154C7"/>
    <w:rsid w:val="00A21DF3"/>
    <w:rsid w:val="00A23DA4"/>
    <w:rsid w:val="00A24BDD"/>
    <w:rsid w:val="00A26C61"/>
    <w:rsid w:val="00A272E9"/>
    <w:rsid w:val="00A275FB"/>
    <w:rsid w:val="00A305D1"/>
    <w:rsid w:val="00A3118E"/>
    <w:rsid w:val="00A317C2"/>
    <w:rsid w:val="00A33DF1"/>
    <w:rsid w:val="00A3441D"/>
    <w:rsid w:val="00A37085"/>
    <w:rsid w:val="00A40678"/>
    <w:rsid w:val="00A40EA6"/>
    <w:rsid w:val="00A42DC5"/>
    <w:rsid w:val="00A45A9E"/>
    <w:rsid w:val="00A47621"/>
    <w:rsid w:val="00A50BD4"/>
    <w:rsid w:val="00A515F2"/>
    <w:rsid w:val="00A51D9B"/>
    <w:rsid w:val="00A577DF"/>
    <w:rsid w:val="00A60515"/>
    <w:rsid w:val="00A61524"/>
    <w:rsid w:val="00A6321C"/>
    <w:rsid w:val="00A65A41"/>
    <w:rsid w:val="00A670E2"/>
    <w:rsid w:val="00A73C31"/>
    <w:rsid w:val="00A75D04"/>
    <w:rsid w:val="00A77C7A"/>
    <w:rsid w:val="00A812FA"/>
    <w:rsid w:val="00A82227"/>
    <w:rsid w:val="00A822FA"/>
    <w:rsid w:val="00A84D80"/>
    <w:rsid w:val="00A920F1"/>
    <w:rsid w:val="00A93ECF"/>
    <w:rsid w:val="00A940F6"/>
    <w:rsid w:val="00A94C2F"/>
    <w:rsid w:val="00A97E46"/>
    <w:rsid w:val="00AA0ED5"/>
    <w:rsid w:val="00AA1C7A"/>
    <w:rsid w:val="00AA1DB6"/>
    <w:rsid w:val="00AA2A13"/>
    <w:rsid w:val="00AA2EA2"/>
    <w:rsid w:val="00AA35FF"/>
    <w:rsid w:val="00AA4939"/>
    <w:rsid w:val="00AA4FC5"/>
    <w:rsid w:val="00AB00F6"/>
    <w:rsid w:val="00AB0C9F"/>
    <w:rsid w:val="00AB2F29"/>
    <w:rsid w:val="00AB330E"/>
    <w:rsid w:val="00AB4AD8"/>
    <w:rsid w:val="00AB4AE2"/>
    <w:rsid w:val="00AB7A10"/>
    <w:rsid w:val="00AC13FE"/>
    <w:rsid w:val="00AC2548"/>
    <w:rsid w:val="00AC28E7"/>
    <w:rsid w:val="00AC2A33"/>
    <w:rsid w:val="00AC3DFA"/>
    <w:rsid w:val="00AC4727"/>
    <w:rsid w:val="00AC56D5"/>
    <w:rsid w:val="00AC65A2"/>
    <w:rsid w:val="00AC6614"/>
    <w:rsid w:val="00AC711D"/>
    <w:rsid w:val="00AC7E72"/>
    <w:rsid w:val="00AD0530"/>
    <w:rsid w:val="00AD1B23"/>
    <w:rsid w:val="00AD20C8"/>
    <w:rsid w:val="00AD21F2"/>
    <w:rsid w:val="00AD372F"/>
    <w:rsid w:val="00AE1E82"/>
    <w:rsid w:val="00AE3FA9"/>
    <w:rsid w:val="00AE4941"/>
    <w:rsid w:val="00AE52C0"/>
    <w:rsid w:val="00AE5B37"/>
    <w:rsid w:val="00AE6CF0"/>
    <w:rsid w:val="00AF06AA"/>
    <w:rsid w:val="00AF23E6"/>
    <w:rsid w:val="00AF2689"/>
    <w:rsid w:val="00AF29A9"/>
    <w:rsid w:val="00AF3416"/>
    <w:rsid w:val="00AF43D5"/>
    <w:rsid w:val="00AF4468"/>
    <w:rsid w:val="00AF4977"/>
    <w:rsid w:val="00AF4B80"/>
    <w:rsid w:val="00AF4F7A"/>
    <w:rsid w:val="00AF57E7"/>
    <w:rsid w:val="00AF58CB"/>
    <w:rsid w:val="00AF73FD"/>
    <w:rsid w:val="00AF79F1"/>
    <w:rsid w:val="00B01167"/>
    <w:rsid w:val="00B02466"/>
    <w:rsid w:val="00B03B37"/>
    <w:rsid w:val="00B03B67"/>
    <w:rsid w:val="00B04736"/>
    <w:rsid w:val="00B04799"/>
    <w:rsid w:val="00B0489D"/>
    <w:rsid w:val="00B05A32"/>
    <w:rsid w:val="00B05AE1"/>
    <w:rsid w:val="00B0656A"/>
    <w:rsid w:val="00B07088"/>
    <w:rsid w:val="00B117AE"/>
    <w:rsid w:val="00B11A7D"/>
    <w:rsid w:val="00B12956"/>
    <w:rsid w:val="00B15A92"/>
    <w:rsid w:val="00B15AC8"/>
    <w:rsid w:val="00B16C3A"/>
    <w:rsid w:val="00B17D11"/>
    <w:rsid w:val="00B20773"/>
    <w:rsid w:val="00B23D5A"/>
    <w:rsid w:val="00B2430A"/>
    <w:rsid w:val="00B26883"/>
    <w:rsid w:val="00B26C23"/>
    <w:rsid w:val="00B34340"/>
    <w:rsid w:val="00B351B8"/>
    <w:rsid w:val="00B35E38"/>
    <w:rsid w:val="00B363B2"/>
    <w:rsid w:val="00B36568"/>
    <w:rsid w:val="00B36D5B"/>
    <w:rsid w:val="00B41CF7"/>
    <w:rsid w:val="00B42245"/>
    <w:rsid w:val="00B42DFA"/>
    <w:rsid w:val="00B42E9D"/>
    <w:rsid w:val="00B46B50"/>
    <w:rsid w:val="00B4790F"/>
    <w:rsid w:val="00B5018B"/>
    <w:rsid w:val="00B505CF"/>
    <w:rsid w:val="00B5070F"/>
    <w:rsid w:val="00B509DB"/>
    <w:rsid w:val="00B52CF5"/>
    <w:rsid w:val="00B52DF7"/>
    <w:rsid w:val="00B53B31"/>
    <w:rsid w:val="00B54CE7"/>
    <w:rsid w:val="00B55118"/>
    <w:rsid w:val="00B55BFD"/>
    <w:rsid w:val="00B55C80"/>
    <w:rsid w:val="00B57896"/>
    <w:rsid w:val="00B62BB2"/>
    <w:rsid w:val="00B633A2"/>
    <w:rsid w:val="00B64E3C"/>
    <w:rsid w:val="00B654D8"/>
    <w:rsid w:val="00B655C6"/>
    <w:rsid w:val="00B7056A"/>
    <w:rsid w:val="00B70B23"/>
    <w:rsid w:val="00B71953"/>
    <w:rsid w:val="00B71DB8"/>
    <w:rsid w:val="00B72CD3"/>
    <w:rsid w:val="00B7422E"/>
    <w:rsid w:val="00B756AD"/>
    <w:rsid w:val="00B76D79"/>
    <w:rsid w:val="00B77A48"/>
    <w:rsid w:val="00B806D3"/>
    <w:rsid w:val="00B82922"/>
    <w:rsid w:val="00B86481"/>
    <w:rsid w:val="00B90FD5"/>
    <w:rsid w:val="00B910ED"/>
    <w:rsid w:val="00B92770"/>
    <w:rsid w:val="00B92ECA"/>
    <w:rsid w:val="00B973ED"/>
    <w:rsid w:val="00B97AFE"/>
    <w:rsid w:val="00BA0AC2"/>
    <w:rsid w:val="00BA0BEB"/>
    <w:rsid w:val="00BA13E1"/>
    <w:rsid w:val="00BA1790"/>
    <w:rsid w:val="00BA3382"/>
    <w:rsid w:val="00BA4A88"/>
    <w:rsid w:val="00BA512F"/>
    <w:rsid w:val="00BA5776"/>
    <w:rsid w:val="00BA686A"/>
    <w:rsid w:val="00BA6A5A"/>
    <w:rsid w:val="00BA76A2"/>
    <w:rsid w:val="00BA76C3"/>
    <w:rsid w:val="00BB156A"/>
    <w:rsid w:val="00BB2454"/>
    <w:rsid w:val="00BB2BBC"/>
    <w:rsid w:val="00BB2F1D"/>
    <w:rsid w:val="00BB399C"/>
    <w:rsid w:val="00BB40DA"/>
    <w:rsid w:val="00BB4B6E"/>
    <w:rsid w:val="00BB5B77"/>
    <w:rsid w:val="00BC0623"/>
    <w:rsid w:val="00BC1E3E"/>
    <w:rsid w:val="00BC3B71"/>
    <w:rsid w:val="00BC5478"/>
    <w:rsid w:val="00BC58EE"/>
    <w:rsid w:val="00BC60FF"/>
    <w:rsid w:val="00BC7066"/>
    <w:rsid w:val="00BD01A5"/>
    <w:rsid w:val="00BD2CAA"/>
    <w:rsid w:val="00BD3521"/>
    <w:rsid w:val="00BD58C8"/>
    <w:rsid w:val="00BE0319"/>
    <w:rsid w:val="00BE04F6"/>
    <w:rsid w:val="00BE0777"/>
    <w:rsid w:val="00BE1665"/>
    <w:rsid w:val="00BE1E7C"/>
    <w:rsid w:val="00BE2614"/>
    <w:rsid w:val="00BE2E14"/>
    <w:rsid w:val="00BE539B"/>
    <w:rsid w:val="00BE64A0"/>
    <w:rsid w:val="00BF14C6"/>
    <w:rsid w:val="00BF251B"/>
    <w:rsid w:val="00BF2DCB"/>
    <w:rsid w:val="00BF2DE7"/>
    <w:rsid w:val="00BF3A29"/>
    <w:rsid w:val="00BF42D5"/>
    <w:rsid w:val="00BF50F2"/>
    <w:rsid w:val="00BF7604"/>
    <w:rsid w:val="00C003B2"/>
    <w:rsid w:val="00C00400"/>
    <w:rsid w:val="00C024BC"/>
    <w:rsid w:val="00C02999"/>
    <w:rsid w:val="00C044D0"/>
    <w:rsid w:val="00C04642"/>
    <w:rsid w:val="00C04F94"/>
    <w:rsid w:val="00C1057B"/>
    <w:rsid w:val="00C1075A"/>
    <w:rsid w:val="00C126B5"/>
    <w:rsid w:val="00C13539"/>
    <w:rsid w:val="00C13821"/>
    <w:rsid w:val="00C13944"/>
    <w:rsid w:val="00C13C28"/>
    <w:rsid w:val="00C15489"/>
    <w:rsid w:val="00C16852"/>
    <w:rsid w:val="00C17F9D"/>
    <w:rsid w:val="00C20D0E"/>
    <w:rsid w:val="00C20E6E"/>
    <w:rsid w:val="00C216B9"/>
    <w:rsid w:val="00C220A3"/>
    <w:rsid w:val="00C227A6"/>
    <w:rsid w:val="00C25F1A"/>
    <w:rsid w:val="00C26959"/>
    <w:rsid w:val="00C27164"/>
    <w:rsid w:val="00C274D6"/>
    <w:rsid w:val="00C277F5"/>
    <w:rsid w:val="00C27A88"/>
    <w:rsid w:val="00C307B7"/>
    <w:rsid w:val="00C31BE6"/>
    <w:rsid w:val="00C31FF7"/>
    <w:rsid w:val="00C32177"/>
    <w:rsid w:val="00C33B9E"/>
    <w:rsid w:val="00C36352"/>
    <w:rsid w:val="00C3667C"/>
    <w:rsid w:val="00C37400"/>
    <w:rsid w:val="00C37C90"/>
    <w:rsid w:val="00C4028A"/>
    <w:rsid w:val="00C412B6"/>
    <w:rsid w:val="00C4314D"/>
    <w:rsid w:val="00C431B4"/>
    <w:rsid w:val="00C44780"/>
    <w:rsid w:val="00C453B3"/>
    <w:rsid w:val="00C45865"/>
    <w:rsid w:val="00C45CEF"/>
    <w:rsid w:val="00C50354"/>
    <w:rsid w:val="00C50F8D"/>
    <w:rsid w:val="00C53BC9"/>
    <w:rsid w:val="00C53E9F"/>
    <w:rsid w:val="00C55E1B"/>
    <w:rsid w:val="00C6018F"/>
    <w:rsid w:val="00C60BE3"/>
    <w:rsid w:val="00C62A68"/>
    <w:rsid w:val="00C63A18"/>
    <w:rsid w:val="00C64528"/>
    <w:rsid w:val="00C66411"/>
    <w:rsid w:val="00C67424"/>
    <w:rsid w:val="00C67494"/>
    <w:rsid w:val="00C6785B"/>
    <w:rsid w:val="00C736DF"/>
    <w:rsid w:val="00C76134"/>
    <w:rsid w:val="00C76FE6"/>
    <w:rsid w:val="00C8243E"/>
    <w:rsid w:val="00C85CE2"/>
    <w:rsid w:val="00C86265"/>
    <w:rsid w:val="00C87033"/>
    <w:rsid w:val="00C90080"/>
    <w:rsid w:val="00C9064D"/>
    <w:rsid w:val="00C9138C"/>
    <w:rsid w:val="00C93632"/>
    <w:rsid w:val="00C93803"/>
    <w:rsid w:val="00C9713C"/>
    <w:rsid w:val="00C973D5"/>
    <w:rsid w:val="00C97AE1"/>
    <w:rsid w:val="00CA0449"/>
    <w:rsid w:val="00CA0828"/>
    <w:rsid w:val="00CA2DA3"/>
    <w:rsid w:val="00CA41BE"/>
    <w:rsid w:val="00CA5297"/>
    <w:rsid w:val="00CA59F6"/>
    <w:rsid w:val="00CA64FE"/>
    <w:rsid w:val="00CA7524"/>
    <w:rsid w:val="00CB041C"/>
    <w:rsid w:val="00CB06B1"/>
    <w:rsid w:val="00CB1075"/>
    <w:rsid w:val="00CB1960"/>
    <w:rsid w:val="00CB2D3D"/>
    <w:rsid w:val="00CB303D"/>
    <w:rsid w:val="00CB3B8B"/>
    <w:rsid w:val="00CB3E7D"/>
    <w:rsid w:val="00CB5322"/>
    <w:rsid w:val="00CC118D"/>
    <w:rsid w:val="00CC2495"/>
    <w:rsid w:val="00CC2977"/>
    <w:rsid w:val="00CC39BD"/>
    <w:rsid w:val="00CC3BDC"/>
    <w:rsid w:val="00CC4475"/>
    <w:rsid w:val="00CC6C10"/>
    <w:rsid w:val="00CC6C84"/>
    <w:rsid w:val="00CC7A39"/>
    <w:rsid w:val="00CD0BEE"/>
    <w:rsid w:val="00CD14A1"/>
    <w:rsid w:val="00CD1AC4"/>
    <w:rsid w:val="00CD289B"/>
    <w:rsid w:val="00CD2EB4"/>
    <w:rsid w:val="00CD45C7"/>
    <w:rsid w:val="00CD4F54"/>
    <w:rsid w:val="00CD5FB1"/>
    <w:rsid w:val="00CD73CF"/>
    <w:rsid w:val="00CD7DE7"/>
    <w:rsid w:val="00CE1824"/>
    <w:rsid w:val="00CE26EB"/>
    <w:rsid w:val="00CE4697"/>
    <w:rsid w:val="00CE6A0C"/>
    <w:rsid w:val="00CE7F16"/>
    <w:rsid w:val="00CF2F11"/>
    <w:rsid w:val="00CF46FD"/>
    <w:rsid w:val="00D03266"/>
    <w:rsid w:val="00D03754"/>
    <w:rsid w:val="00D04789"/>
    <w:rsid w:val="00D05BA6"/>
    <w:rsid w:val="00D06ADA"/>
    <w:rsid w:val="00D07806"/>
    <w:rsid w:val="00D1034F"/>
    <w:rsid w:val="00D10850"/>
    <w:rsid w:val="00D1099D"/>
    <w:rsid w:val="00D109AA"/>
    <w:rsid w:val="00D1102E"/>
    <w:rsid w:val="00D1183E"/>
    <w:rsid w:val="00D119DD"/>
    <w:rsid w:val="00D11A08"/>
    <w:rsid w:val="00D135D4"/>
    <w:rsid w:val="00D15355"/>
    <w:rsid w:val="00D15B3B"/>
    <w:rsid w:val="00D179FE"/>
    <w:rsid w:val="00D17C3F"/>
    <w:rsid w:val="00D20F65"/>
    <w:rsid w:val="00D214B0"/>
    <w:rsid w:val="00D21799"/>
    <w:rsid w:val="00D224D1"/>
    <w:rsid w:val="00D23BF7"/>
    <w:rsid w:val="00D24119"/>
    <w:rsid w:val="00D24224"/>
    <w:rsid w:val="00D24525"/>
    <w:rsid w:val="00D25994"/>
    <w:rsid w:val="00D25BB0"/>
    <w:rsid w:val="00D26A7E"/>
    <w:rsid w:val="00D270A1"/>
    <w:rsid w:val="00D27E6A"/>
    <w:rsid w:val="00D27FBC"/>
    <w:rsid w:val="00D326A6"/>
    <w:rsid w:val="00D33506"/>
    <w:rsid w:val="00D340EE"/>
    <w:rsid w:val="00D36068"/>
    <w:rsid w:val="00D363C2"/>
    <w:rsid w:val="00D3745B"/>
    <w:rsid w:val="00D42314"/>
    <w:rsid w:val="00D44AB4"/>
    <w:rsid w:val="00D45D98"/>
    <w:rsid w:val="00D519C3"/>
    <w:rsid w:val="00D5226D"/>
    <w:rsid w:val="00D527F1"/>
    <w:rsid w:val="00D54D74"/>
    <w:rsid w:val="00D566A9"/>
    <w:rsid w:val="00D572E3"/>
    <w:rsid w:val="00D573A3"/>
    <w:rsid w:val="00D57F07"/>
    <w:rsid w:val="00D615F1"/>
    <w:rsid w:val="00D62490"/>
    <w:rsid w:val="00D63CA8"/>
    <w:rsid w:val="00D6569A"/>
    <w:rsid w:val="00D65D72"/>
    <w:rsid w:val="00D661B6"/>
    <w:rsid w:val="00D66765"/>
    <w:rsid w:val="00D67DE7"/>
    <w:rsid w:val="00D71B83"/>
    <w:rsid w:val="00D72AAB"/>
    <w:rsid w:val="00D72F76"/>
    <w:rsid w:val="00D7385A"/>
    <w:rsid w:val="00D73F97"/>
    <w:rsid w:val="00D74FF4"/>
    <w:rsid w:val="00D75DD0"/>
    <w:rsid w:val="00D76590"/>
    <w:rsid w:val="00D806CD"/>
    <w:rsid w:val="00D80E52"/>
    <w:rsid w:val="00D81210"/>
    <w:rsid w:val="00D81501"/>
    <w:rsid w:val="00D83B5E"/>
    <w:rsid w:val="00D868DE"/>
    <w:rsid w:val="00D86B59"/>
    <w:rsid w:val="00D8765E"/>
    <w:rsid w:val="00D87D35"/>
    <w:rsid w:val="00D90799"/>
    <w:rsid w:val="00D915FC"/>
    <w:rsid w:val="00D93156"/>
    <w:rsid w:val="00D93315"/>
    <w:rsid w:val="00D96818"/>
    <w:rsid w:val="00DA122C"/>
    <w:rsid w:val="00DA5E38"/>
    <w:rsid w:val="00DA648B"/>
    <w:rsid w:val="00DA697B"/>
    <w:rsid w:val="00DA6F21"/>
    <w:rsid w:val="00DA76AA"/>
    <w:rsid w:val="00DB05E2"/>
    <w:rsid w:val="00DB18A5"/>
    <w:rsid w:val="00DB1A4D"/>
    <w:rsid w:val="00DB1AF5"/>
    <w:rsid w:val="00DB465E"/>
    <w:rsid w:val="00DB48B5"/>
    <w:rsid w:val="00DB4DAD"/>
    <w:rsid w:val="00DB4E26"/>
    <w:rsid w:val="00DB511C"/>
    <w:rsid w:val="00DB5B1E"/>
    <w:rsid w:val="00DB5CAB"/>
    <w:rsid w:val="00DC033D"/>
    <w:rsid w:val="00DC3504"/>
    <w:rsid w:val="00DC36A6"/>
    <w:rsid w:val="00DC3E24"/>
    <w:rsid w:val="00DC603B"/>
    <w:rsid w:val="00DC6680"/>
    <w:rsid w:val="00DC6D9D"/>
    <w:rsid w:val="00DC777D"/>
    <w:rsid w:val="00DD0370"/>
    <w:rsid w:val="00DD1DBD"/>
    <w:rsid w:val="00DD2BCB"/>
    <w:rsid w:val="00DD3977"/>
    <w:rsid w:val="00DD68C4"/>
    <w:rsid w:val="00DE360E"/>
    <w:rsid w:val="00DE3B81"/>
    <w:rsid w:val="00DE458F"/>
    <w:rsid w:val="00DE6B55"/>
    <w:rsid w:val="00DE7B33"/>
    <w:rsid w:val="00DF158B"/>
    <w:rsid w:val="00DF1E12"/>
    <w:rsid w:val="00DF2D9A"/>
    <w:rsid w:val="00DF493A"/>
    <w:rsid w:val="00DF5120"/>
    <w:rsid w:val="00DF7645"/>
    <w:rsid w:val="00E02522"/>
    <w:rsid w:val="00E04655"/>
    <w:rsid w:val="00E04916"/>
    <w:rsid w:val="00E05AD7"/>
    <w:rsid w:val="00E0658E"/>
    <w:rsid w:val="00E1140D"/>
    <w:rsid w:val="00E11D51"/>
    <w:rsid w:val="00E12A92"/>
    <w:rsid w:val="00E12E83"/>
    <w:rsid w:val="00E13791"/>
    <w:rsid w:val="00E13D89"/>
    <w:rsid w:val="00E15A40"/>
    <w:rsid w:val="00E17056"/>
    <w:rsid w:val="00E17992"/>
    <w:rsid w:val="00E23CC6"/>
    <w:rsid w:val="00E24025"/>
    <w:rsid w:val="00E24885"/>
    <w:rsid w:val="00E26C34"/>
    <w:rsid w:val="00E26DC5"/>
    <w:rsid w:val="00E27631"/>
    <w:rsid w:val="00E3612F"/>
    <w:rsid w:val="00E40852"/>
    <w:rsid w:val="00E4286C"/>
    <w:rsid w:val="00E43C7B"/>
    <w:rsid w:val="00E44D00"/>
    <w:rsid w:val="00E47405"/>
    <w:rsid w:val="00E47462"/>
    <w:rsid w:val="00E50B2F"/>
    <w:rsid w:val="00E5115E"/>
    <w:rsid w:val="00E523D1"/>
    <w:rsid w:val="00E53659"/>
    <w:rsid w:val="00E53DAF"/>
    <w:rsid w:val="00E54CAD"/>
    <w:rsid w:val="00E57787"/>
    <w:rsid w:val="00E578B7"/>
    <w:rsid w:val="00E609A7"/>
    <w:rsid w:val="00E60B0F"/>
    <w:rsid w:val="00E61209"/>
    <w:rsid w:val="00E626D6"/>
    <w:rsid w:val="00E630A0"/>
    <w:rsid w:val="00E63507"/>
    <w:rsid w:val="00E6383F"/>
    <w:rsid w:val="00E63F41"/>
    <w:rsid w:val="00E64500"/>
    <w:rsid w:val="00E64977"/>
    <w:rsid w:val="00E65CCA"/>
    <w:rsid w:val="00E65F7C"/>
    <w:rsid w:val="00E6603E"/>
    <w:rsid w:val="00E661E6"/>
    <w:rsid w:val="00E7072E"/>
    <w:rsid w:val="00E71EEF"/>
    <w:rsid w:val="00E72325"/>
    <w:rsid w:val="00E7266D"/>
    <w:rsid w:val="00E727FE"/>
    <w:rsid w:val="00E73037"/>
    <w:rsid w:val="00E75B87"/>
    <w:rsid w:val="00E81550"/>
    <w:rsid w:val="00E83F80"/>
    <w:rsid w:val="00E842B8"/>
    <w:rsid w:val="00E84F00"/>
    <w:rsid w:val="00E86328"/>
    <w:rsid w:val="00E86367"/>
    <w:rsid w:val="00E8640F"/>
    <w:rsid w:val="00E86905"/>
    <w:rsid w:val="00E87D33"/>
    <w:rsid w:val="00E87DDE"/>
    <w:rsid w:val="00E90631"/>
    <w:rsid w:val="00E912E0"/>
    <w:rsid w:val="00E922BB"/>
    <w:rsid w:val="00E9247D"/>
    <w:rsid w:val="00E93216"/>
    <w:rsid w:val="00E93247"/>
    <w:rsid w:val="00E97351"/>
    <w:rsid w:val="00E97455"/>
    <w:rsid w:val="00E97AFF"/>
    <w:rsid w:val="00EA0A94"/>
    <w:rsid w:val="00EA1E83"/>
    <w:rsid w:val="00EA270F"/>
    <w:rsid w:val="00EA32B9"/>
    <w:rsid w:val="00EA6DCE"/>
    <w:rsid w:val="00EA7ABE"/>
    <w:rsid w:val="00EB192C"/>
    <w:rsid w:val="00EB2912"/>
    <w:rsid w:val="00EB54C8"/>
    <w:rsid w:val="00EB6C70"/>
    <w:rsid w:val="00EC0637"/>
    <w:rsid w:val="00EC1307"/>
    <w:rsid w:val="00EC317C"/>
    <w:rsid w:val="00EC3798"/>
    <w:rsid w:val="00EC3DDF"/>
    <w:rsid w:val="00EC48FC"/>
    <w:rsid w:val="00EC4A57"/>
    <w:rsid w:val="00EC4B6B"/>
    <w:rsid w:val="00EC4B72"/>
    <w:rsid w:val="00EC5472"/>
    <w:rsid w:val="00EC585A"/>
    <w:rsid w:val="00EC7550"/>
    <w:rsid w:val="00ED1A64"/>
    <w:rsid w:val="00ED5214"/>
    <w:rsid w:val="00ED5EC9"/>
    <w:rsid w:val="00ED5FE7"/>
    <w:rsid w:val="00ED62E7"/>
    <w:rsid w:val="00EE0882"/>
    <w:rsid w:val="00EE09EE"/>
    <w:rsid w:val="00EE0B98"/>
    <w:rsid w:val="00EE315F"/>
    <w:rsid w:val="00EE3A74"/>
    <w:rsid w:val="00EE498D"/>
    <w:rsid w:val="00EE5CB3"/>
    <w:rsid w:val="00EE5CBA"/>
    <w:rsid w:val="00EE6DB4"/>
    <w:rsid w:val="00EF1834"/>
    <w:rsid w:val="00EF3316"/>
    <w:rsid w:val="00EF4263"/>
    <w:rsid w:val="00EF47FE"/>
    <w:rsid w:val="00EF4964"/>
    <w:rsid w:val="00EF5F0E"/>
    <w:rsid w:val="00EF76A6"/>
    <w:rsid w:val="00F003C7"/>
    <w:rsid w:val="00F01933"/>
    <w:rsid w:val="00F03270"/>
    <w:rsid w:val="00F03F75"/>
    <w:rsid w:val="00F04086"/>
    <w:rsid w:val="00F04C2C"/>
    <w:rsid w:val="00F05E57"/>
    <w:rsid w:val="00F11A63"/>
    <w:rsid w:val="00F11EFB"/>
    <w:rsid w:val="00F14CB6"/>
    <w:rsid w:val="00F161CC"/>
    <w:rsid w:val="00F163E8"/>
    <w:rsid w:val="00F2250E"/>
    <w:rsid w:val="00F22831"/>
    <w:rsid w:val="00F240AD"/>
    <w:rsid w:val="00F24DED"/>
    <w:rsid w:val="00F2513C"/>
    <w:rsid w:val="00F25999"/>
    <w:rsid w:val="00F263EB"/>
    <w:rsid w:val="00F272C1"/>
    <w:rsid w:val="00F27453"/>
    <w:rsid w:val="00F27C6A"/>
    <w:rsid w:val="00F27EC8"/>
    <w:rsid w:val="00F3059F"/>
    <w:rsid w:val="00F306F8"/>
    <w:rsid w:val="00F30824"/>
    <w:rsid w:val="00F30D82"/>
    <w:rsid w:val="00F30FCB"/>
    <w:rsid w:val="00F36336"/>
    <w:rsid w:val="00F36A49"/>
    <w:rsid w:val="00F36F57"/>
    <w:rsid w:val="00F375FF"/>
    <w:rsid w:val="00F37E6E"/>
    <w:rsid w:val="00F400FD"/>
    <w:rsid w:val="00F40AC3"/>
    <w:rsid w:val="00F40E5E"/>
    <w:rsid w:val="00F416BE"/>
    <w:rsid w:val="00F431EB"/>
    <w:rsid w:val="00F44FEE"/>
    <w:rsid w:val="00F461AC"/>
    <w:rsid w:val="00F4696A"/>
    <w:rsid w:val="00F46B4E"/>
    <w:rsid w:val="00F47A08"/>
    <w:rsid w:val="00F5017E"/>
    <w:rsid w:val="00F50E5A"/>
    <w:rsid w:val="00F52D91"/>
    <w:rsid w:val="00F601AE"/>
    <w:rsid w:val="00F60F41"/>
    <w:rsid w:val="00F61F6C"/>
    <w:rsid w:val="00F620D0"/>
    <w:rsid w:val="00F67E53"/>
    <w:rsid w:val="00F70AC2"/>
    <w:rsid w:val="00F720E8"/>
    <w:rsid w:val="00F7233E"/>
    <w:rsid w:val="00F733F3"/>
    <w:rsid w:val="00F73492"/>
    <w:rsid w:val="00F74E38"/>
    <w:rsid w:val="00F74F6A"/>
    <w:rsid w:val="00F75876"/>
    <w:rsid w:val="00F75D37"/>
    <w:rsid w:val="00F75F56"/>
    <w:rsid w:val="00F811D7"/>
    <w:rsid w:val="00F81682"/>
    <w:rsid w:val="00F8181F"/>
    <w:rsid w:val="00F8253D"/>
    <w:rsid w:val="00F84899"/>
    <w:rsid w:val="00F8615F"/>
    <w:rsid w:val="00F86200"/>
    <w:rsid w:val="00F907CA"/>
    <w:rsid w:val="00F92C83"/>
    <w:rsid w:val="00F92E21"/>
    <w:rsid w:val="00F95EF4"/>
    <w:rsid w:val="00F96AC4"/>
    <w:rsid w:val="00FA1704"/>
    <w:rsid w:val="00FA29D7"/>
    <w:rsid w:val="00FA2FA9"/>
    <w:rsid w:val="00FA48D8"/>
    <w:rsid w:val="00FA4EFE"/>
    <w:rsid w:val="00FA5250"/>
    <w:rsid w:val="00FA54FF"/>
    <w:rsid w:val="00FA7B82"/>
    <w:rsid w:val="00FB030A"/>
    <w:rsid w:val="00FB141D"/>
    <w:rsid w:val="00FB24E8"/>
    <w:rsid w:val="00FB2ABF"/>
    <w:rsid w:val="00FB32E6"/>
    <w:rsid w:val="00FB49F6"/>
    <w:rsid w:val="00FB541C"/>
    <w:rsid w:val="00FB64D6"/>
    <w:rsid w:val="00FB6A05"/>
    <w:rsid w:val="00FB6AE1"/>
    <w:rsid w:val="00FB70B6"/>
    <w:rsid w:val="00FB7DFF"/>
    <w:rsid w:val="00FC07EE"/>
    <w:rsid w:val="00FC0FBA"/>
    <w:rsid w:val="00FC1C9E"/>
    <w:rsid w:val="00FC3EA1"/>
    <w:rsid w:val="00FC584D"/>
    <w:rsid w:val="00FC6814"/>
    <w:rsid w:val="00FD01C7"/>
    <w:rsid w:val="00FD03D2"/>
    <w:rsid w:val="00FD08E8"/>
    <w:rsid w:val="00FD09D5"/>
    <w:rsid w:val="00FD263E"/>
    <w:rsid w:val="00FD4EC0"/>
    <w:rsid w:val="00FD615D"/>
    <w:rsid w:val="00FD6809"/>
    <w:rsid w:val="00FD6C21"/>
    <w:rsid w:val="00FD73EC"/>
    <w:rsid w:val="00FE01C6"/>
    <w:rsid w:val="00FE10EF"/>
    <w:rsid w:val="00FE1FF7"/>
    <w:rsid w:val="00FE2018"/>
    <w:rsid w:val="00FE3573"/>
    <w:rsid w:val="00FE3E8E"/>
    <w:rsid w:val="00FE4598"/>
    <w:rsid w:val="00FE4934"/>
    <w:rsid w:val="00FE6E05"/>
    <w:rsid w:val="00FE7418"/>
    <w:rsid w:val="00FE7F1C"/>
    <w:rsid w:val="00FF6783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F0C2-6641-4F15-B845-D73BDBA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496</Words>
  <Characters>2833</Characters>
  <Application>Microsoft Office Word</Application>
  <DocSecurity>0</DocSecurity>
  <Lines>23</Lines>
  <Paragraphs>6</Paragraphs>
  <ScaleCrop>false</ScaleCrop>
  <Company>user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卢洁雯</dc:creator>
  <cp:lastModifiedBy>NTKO</cp:lastModifiedBy>
  <cp:revision>5</cp:revision>
  <cp:lastPrinted>2017-08-28T07:38:00Z</cp:lastPrinted>
  <dcterms:created xsi:type="dcterms:W3CDTF">2019-04-17T05:46:00Z</dcterms:created>
  <dcterms:modified xsi:type="dcterms:W3CDTF">2019-04-17T08:13:00Z</dcterms:modified>
</cp:coreProperties>
</file>