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10" w:rsidRPr="00CA0689" w:rsidRDefault="00EE1C10" w:rsidP="00E055AC">
      <w:pPr>
        <w:spacing w:beforeLines="50" w:before="156" w:afterLines="50" w:after="156" w:line="400" w:lineRule="exact"/>
        <w:rPr>
          <w:rFonts w:ascii="Arial" w:eastAsia="华文细黑" w:hAnsi="Arial"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证券代码：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 xml:space="preserve">000001                                  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证券简称：</w:t>
      </w:r>
      <w:r w:rsidR="00D96584" w:rsidRPr="00CA0689">
        <w:rPr>
          <w:rFonts w:ascii="Arial" w:eastAsia="华文细黑" w:hAnsi="Arial" w:hint="eastAsia"/>
          <w:bCs/>
          <w:iCs/>
          <w:color w:val="000000"/>
          <w:szCs w:val="21"/>
        </w:rPr>
        <w:t>平安银行</w:t>
      </w:r>
    </w:p>
    <w:p w:rsidR="00EE1C10" w:rsidRPr="00CA0689" w:rsidRDefault="003317E5" w:rsidP="00E055AC">
      <w:pPr>
        <w:spacing w:beforeLines="50" w:before="156" w:afterLines="50" w:after="156" w:line="400" w:lineRule="exact"/>
        <w:jc w:val="center"/>
        <w:rPr>
          <w:rFonts w:ascii="Arial" w:eastAsia="华文细黑" w:hAnsi="Arial"/>
          <w:b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/>
          <w:bCs/>
          <w:iCs/>
          <w:color w:val="000000"/>
          <w:sz w:val="24"/>
          <w:szCs w:val="21"/>
        </w:rPr>
        <w:t>平安</w:t>
      </w:r>
      <w:r w:rsidR="00EE1C10" w:rsidRPr="00CA0689">
        <w:rPr>
          <w:rFonts w:ascii="Arial" w:eastAsia="华文细黑" w:hAnsi="Arial" w:hint="eastAsia"/>
          <w:b/>
          <w:bCs/>
          <w:iCs/>
          <w:color w:val="000000"/>
          <w:sz w:val="24"/>
          <w:szCs w:val="21"/>
        </w:rPr>
        <w:t>银行股份有限公司投资者关系活动记录表</w:t>
      </w:r>
    </w:p>
    <w:p w:rsidR="00EE1C10" w:rsidRPr="00CA0689" w:rsidRDefault="00EE1C10" w:rsidP="00EE1C10">
      <w:pPr>
        <w:spacing w:line="400" w:lineRule="exact"/>
        <w:rPr>
          <w:rFonts w:ascii="Arial" w:eastAsia="华文细黑" w:hAnsi="Arial"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 xml:space="preserve">                                                         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编号：</w:t>
      </w:r>
    </w:p>
    <w:tbl>
      <w:tblPr>
        <w:tblStyle w:val="a3"/>
        <w:tblW w:w="8931" w:type="dxa"/>
        <w:tblInd w:w="-176" w:type="dxa"/>
        <w:tblLook w:val="01E0" w:firstRow="1" w:lastRow="1" w:firstColumn="1" w:lastColumn="1" w:noHBand="0" w:noVBand="0"/>
      </w:tblPr>
      <w:tblGrid>
        <w:gridCol w:w="2552"/>
        <w:gridCol w:w="6379"/>
      </w:tblGrid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spacing w:line="480" w:lineRule="atLeast"/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投资者关系活动类别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9E293D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特定对象调研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</w:t>
            </w:r>
            <w:r w:rsidR="00EE1C10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分析师会议</w:t>
            </w:r>
          </w:p>
          <w:p w:rsidR="00EE1C10" w:rsidRPr="00CA0689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媒体采访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    </w:t>
            </w:r>
            <w:r w:rsidR="00FF0263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业绩说明会</w:t>
            </w:r>
          </w:p>
          <w:p w:rsidR="00EE1C10" w:rsidRPr="00CA0689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新闻发布会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  </w:t>
            </w:r>
            <w:r w:rsidR="00D87038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路演活动</w:t>
            </w:r>
          </w:p>
          <w:p w:rsidR="00EE1C10" w:rsidRPr="00CA0689" w:rsidRDefault="00EE1C10" w:rsidP="005B3BAE">
            <w:pPr>
              <w:tabs>
                <w:tab w:val="left" w:pos="3045"/>
                <w:tab w:val="center" w:pos="3199"/>
              </w:tabs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现场参观</w:t>
            </w:r>
          </w:p>
          <w:p w:rsidR="00EE1C10" w:rsidRPr="00CA0689" w:rsidRDefault="009E293D" w:rsidP="005B3BAE">
            <w:pPr>
              <w:tabs>
                <w:tab w:val="center" w:pos="3199"/>
              </w:tabs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sym w:font="Wingdings" w:char="F0FE"/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其他</w:t>
            </w:r>
            <w:r w:rsidR="002515C0"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</w:t>
            </w:r>
            <w:r w:rsidR="002515C0" w:rsidRPr="00CA0689">
              <w:rPr>
                <w:rFonts w:ascii="Arial" w:eastAsia="华文细黑" w:hAnsi="Arial" w:hint="eastAsia"/>
                <w:sz w:val="21"/>
                <w:szCs w:val="21"/>
              </w:rPr>
              <w:t>（投行会议）</w:t>
            </w:r>
          </w:p>
        </w:tc>
      </w:tr>
      <w:tr w:rsidR="00EE1C10" w:rsidRPr="00CA0689" w:rsidTr="005B3BAE">
        <w:trPr>
          <w:trHeight w:val="4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参与单位名称及人员姓名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9E293D" w:rsidP="00853994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花旗银行</w:t>
            </w:r>
          </w:p>
        </w:tc>
      </w:tr>
      <w:tr w:rsidR="00EE1C10" w:rsidRPr="00CA0689" w:rsidTr="002721F3">
        <w:trPr>
          <w:trHeight w:val="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43629D" w:rsidP="009E293D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</w:t>
            </w:r>
            <w:r w:rsidR="009E293D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9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</w:t>
            </w:r>
            <w:r w:rsidR="009E293D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月</w:t>
            </w:r>
            <w:r w:rsidR="005B3BAE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</w:t>
            </w:r>
            <w:r w:rsidR="009E293D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0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日</w:t>
            </w:r>
          </w:p>
        </w:tc>
      </w:tr>
      <w:tr w:rsidR="00EE1C10" w:rsidRPr="00CA0689" w:rsidTr="002721F3">
        <w:trPr>
          <w:trHeight w:val="3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5B3BAE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深圳</w:t>
            </w:r>
          </w:p>
        </w:tc>
      </w:tr>
      <w:tr w:rsidR="00EE1C10" w:rsidRPr="00CA0689" w:rsidTr="002721F3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上市公司接待人员姓名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2515C0" w:rsidP="002721F3">
            <w:pPr>
              <w:jc w:val="left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董事会办公室</w:t>
            </w:r>
          </w:p>
        </w:tc>
      </w:tr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投资者关系活动主要内容介绍</w:t>
            </w:r>
          </w:p>
          <w:p w:rsidR="00EE1C10" w:rsidRPr="00CA0689" w:rsidRDefault="00EE1C10" w:rsidP="005B3BAE">
            <w:pPr>
              <w:spacing w:line="480" w:lineRule="atLeast"/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D" w:rsidRPr="00CA0689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介绍公司发展战略、经营业绩，回答投资者提问</w:t>
            </w:r>
          </w:p>
          <w:p w:rsidR="002721F3" w:rsidRPr="00CA0689" w:rsidRDefault="002721F3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3F144D" w:rsidRPr="00CA0689" w:rsidRDefault="003F144D" w:rsidP="009E293D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CA0689">
              <w:rPr>
                <w:rFonts w:ascii="Arial" w:eastAsia="华文细黑" w:hAnsi="Arial" w:hint="eastAsia"/>
                <w:sz w:val="21"/>
              </w:rPr>
              <w:t>平安银行</w:t>
            </w:r>
            <w:r w:rsidR="009E293D" w:rsidRPr="009E293D">
              <w:rPr>
                <w:rFonts w:ascii="Arial" w:eastAsia="华文细黑" w:hAnsi="Arial" w:hint="eastAsia"/>
                <w:sz w:val="21"/>
              </w:rPr>
              <w:t>的发展战略？</w:t>
            </w:r>
          </w:p>
          <w:p w:rsidR="003F144D" w:rsidRDefault="009E293D" w:rsidP="009E293D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本行将积极响应国家战略，顺应国际国内经济金融形势，进一步深化“科技引领、零售突破、对公做精”策略方针，进一步加强对民营企业、小微企业的支持力度，进一步提升服务实体经济的能力。具体来说：一是推进“行业银行”转型，提升服务实体经济能力；二是加强科技赋能，加大民营企业、小微企业支持力度；三是积极拥抱变化，寻找“生态圈”动能；四是严守合规底线，加强风险管控。</w:t>
            </w:r>
          </w:p>
          <w:p w:rsidR="009E293D" w:rsidRDefault="009E293D" w:rsidP="009E293D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 w:hint="eastAsia"/>
                <w:sz w:val="21"/>
                <w:szCs w:val="21"/>
              </w:rPr>
            </w:pPr>
          </w:p>
          <w:p w:rsidR="00AD052D" w:rsidRPr="00CA0689" w:rsidRDefault="00AD052D" w:rsidP="00AD052D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9E293D">
              <w:rPr>
                <w:rFonts w:ascii="Arial" w:eastAsia="华文细黑" w:hAnsi="Arial" w:hint="eastAsia"/>
                <w:sz w:val="21"/>
              </w:rPr>
              <w:t>存款</w:t>
            </w:r>
            <w:r w:rsidR="00E25B1B">
              <w:rPr>
                <w:rFonts w:ascii="Arial" w:eastAsia="华文细黑" w:hAnsi="Arial" w:hint="eastAsia"/>
                <w:sz w:val="21"/>
              </w:rPr>
              <w:t>情况及</w:t>
            </w:r>
            <w:r w:rsidRPr="009E293D">
              <w:rPr>
                <w:rFonts w:ascii="Arial" w:eastAsia="华文细黑" w:hAnsi="Arial" w:hint="eastAsia"/>
                <w:sz w:val="21"/>
              </w:rPr>
              <w:t>趋势？</w:t>
            </w:r>
          </w:p>
          <w:p w:rsidR="00AD052D" w:rsidRDefault="00AD052D" w:rsidP="00AD052D">
            <w:pPr>
              <w:adjustRightInd w:val="0"/>
              <w:snapToGrid w:val="0"/>
              <w:spacing w:afterLines="20" w:after="62"/>
              <w:ind w:firstLine="442"/>
              <w:rPr>
                <w:rFonts w:ascii="Arial" w:eastAsia="华文细黑" w:hAnsi="Arial" w:hint="eastAsia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2018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年末，本行吸收存款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21,285.57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亿元，较上年末增长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1,281.37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亿元，增幅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6.4%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，存款增长整体保持平稳。其中，个人存款余额为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4,615.91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亿元，较上年末增幅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35.4%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。个人活期、定期、理财存款均有不同幅度增长。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未来，本行将持续提供多元化的存款产品，提升活期存款占比，保持存款稳定增长。</w:t>
            </w:r>
          </w:p>
          <w:p w:rsidR="00AD052D" w:rsidRPr="00AD052D" w:rsidRDefault="00AD052D" w:rsidP="009E293D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</w:p>
          <w:p w:rsidR="003F144D" w:rsidRPr="00CA0689" w:rsidRDefault="009E293D" w:rsidP="009E293D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9E293D">
              <w:rPr>
                <w:rFonts w:ascii="Arial" w:eastAsia="华文细黑" w:hAnsi="Arial" w:hint="eastAsia"/>
                <w:sz w:val="21"/>
              </w:rPr>
              <w:t>对公业务</w:t>
            </w:r>
            <w:r w:rsidRPr="009E293D">
              <w:rPr>
                <w:rFonts w:ascii="Arial" w:eastAsia="华文细黑" w:hAnsi="Arial" w:hint="eastAsia"/>
                <w:sz w:val="21"/>
              </w:rPr>
              <w:t>2019</w:t>
            </w:r>
            <w:r>
              <w:rPr>
                <w:rFonts w:ascii="Arial" w:eastAsia="华文细黑" w:hAnsi="Arial" w:hint="eastAsia"/>
                <w:sz w:val="21"/>
              </w:rPr>
              <w:t>年能否有所增长</w:t>
            </w:r>
            <w:r w:rsidR="003F144D" w:rsidRPr="00CA0689">
              <w:rPr>
                <w:rFonts w:ascii="Arial" w:eastAsia="华文细黑" w:hAnsi="Arial" w:hint="eastAsia"/>
                <w:sz w:val="21"/>
              </w:rPr>
              <w:t>？</w:t>
            </w:r>
          </w:p>
          <w:p w:rsidR="002120FC" w:rsidRDefault="009E293D" w:rsidP="009E293D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 w:hint="eastAsia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2018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年本行公司业务聚焦精品业务、精品渠道、精品工程的打造，以生态化的经营理念，着力做大、做强生态各方。</w:t>
            </w:r>
          </w:p>
          <w:p w:rsidR="002120FC" w:rsidRDefault="009E293D" w:rsidP="009E293D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 w:hint="eastAsia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公司业务深度借助云技术、区块链、物联网、大数据等科技手段，为管理赋能，驱动业务创新，形成智能化的精品公司银行业务体系。同时依靠集团综合金融优势，整合金融与科技服务功能，不断丰富对公客户的服务场景，实现产品及客户体验升级。</w:t>
            </w:r>
          </w:p>
          <w:p w:rsidR="004F6F03" w:rsidRDefault="009E293D" w:rsidP="009E293D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未来，公司业务将积极向其他金融机构输出平台和产品，利用代理模式引流客户，践行“双轻”，加快推进战略进程。</w:t>
            </w:r>
          </w:p>
          <w:p w:rsidR="009E293D" w:rsidRDefault="009E293D" w:rsidP="005B3BAE">
            <w:pPr>
              <w:adjustRightInd w:val="0"/>
              <w:snapToGrid w:val="0"/>
              <w:rPr>
                <w:rFonts w:ascii="Arial" w:eastAsia="华文细黑" w:hAnsi="Arial" w:hint="eastAsia"/>
                <w:sz w:val="21"/>
                <w:szCs w:val="21"/>
              </w:rPr>
            </w:pPr>
            <w:bookmarkStart w:id="0" w:name="_Toc464590920"/>
            <w:bookmarkStart w:id="1" w:name="_Toc464720594"/>
            <w:bookmarkStart w:id="2" w:name="_Toc464590889"/>
            <w:bookmarkStart w:id="3" w:name="_Toc464720557"/>
            <w:bookmarkStart w:id="4" w:name="_Toc448833286"/>
            <w:bookmarkStart w:id="5" w:name="_Toc458425958"/>
            <w:bookmarkStart w:id="6" w:name="_Toc464590895"/>
            <w:bookmarkStart w:id="7" w:name="_Toc464720571"/>
            <w:bookmarkStart w:id="8" w:name="_Toc448833292"/>
          </w:p>
          <w:p w:rsidR="00AD052D" w:rsidRPr="00CA0689" w:rsidRDefault="00AD052D" w:rsidP="00AD052D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C87159">
              <w:rPr>
                <w:rFonts w:ascii="Arial" w:eastAsia="华文细黑" w:hAnsi="Arial" w:hint="eastAsia"/>
                <w:sz w:val="21"/>
              </w:rPr>
              <w:t>综合金融发展情况？</w:t>
            </w:r>
          </w:p>
          <w:p w:rsidR="00AD052D" w:rsidRDefault="00AD052D" w:rsidP="00AD052D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本行坚持产渠双向突破。一方面，做强银行渠道，利用集团丰富产品提升客户黏性和价值贡献，通过“产品组合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+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场景融合”实现规模收益突破。另一方面，借力集团优势，通过“金融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+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科技”场景构建银行业务入口，紧扣“金融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+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生态”战略创新综金业务合作模式，充分调动集团内综合金融渠道的销售力量，有力提升银行主业。</w:t>
            </w:r>
          </w:p>
          <w:p w:rsidR="00E25B1B" w:rsidRPr="00E25B1B" w:rsidRDefault="00E25B1B" w:rsidP="005B3BAE">
            <w:pPr>
              <w:adjustRightInd w:val="0"/>
              <w:snapToGrid w:val="0"/>
              <w:rPr>
                <w:rFonts w:ascii="Arial" w:eastAsia="华文细黑" w:hAnsi="Arial"/>
                <w:sz w:val="21"/>
                <w:szCs w:val="21"/>
              </w:rPr>
            </w:pPr>
          </w:p>
          <w:p w:rsidR="00E00681" w:rsidRDefault="00E25B1B" w:rsidP="009E293D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bookmarkStart w:id="9" w:name="_Toc496018961"/>
            <w:r>
              <w:rPr>
                <w:rFonts w:ascii="Arial" w:eastAsia="华文细黑" w:hAnsi="Arial" w:hint="eastAsia"/>
                <w:sz w:val="21"/>
              </w:rPr>
              <w:t>资产质量情况</w:t>
            </w:r>
            <w:r w:rsidR="009E293D" w:rsidRPr="009E293D">
              <w:rPr>
                <w:rFonts w:ascii="Arial" w:eastAsia="华文细黑" w:hAnsi="Arial" w:hint="eastAsia"/>
                <w:sz w:val="21"/>
              </w:rPr>
              <w:t>？</w:t>
            </w:r>
          </w:p>
          <w:p w:rsidR="00E00681" w:rsidRPr="00E00681" w:rsidRDefault="009E293D" w:rsidP="00E00681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2018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年，本行积极应对外部宏观经济变化，持续优化信贷结构，严格管控增量业务风险，防范和化解存量贷款可能出现的各类风险，积极通过一系列措施，加大不良资产清收处置力度，加大拨备及核销力度，资产质量改善明显。</w:t>
            </w:r>
          </w:p>
          <w:bookmarkEnd w:id="9"/>
          <w:bookmarkEnd w:id="0"/>
          <w:bookmarkEnd w:id="1"/>
          <w:bookmarkEnd w:id="8"/>
          <w:p w:rsidR="00AA5A95" w:rsidRPr="00CA0689" w:rsidRDefault="00AA5A95" w:rsidP="005B3BAE">
            <w:pPr>
              <w:adjustRightInd w:val="0"/>
              <w:snapToGrid w:val="0"/>
              <w:spacing w:afterLines="20" w:after="62"/>
              <w:rPr>
                <w:rStyle w:val="a8"/>
                <w:rFonts w:ascii="Arial" w:eastAsia="华文细黑" w:hAnsi="Arial" w:cs="Arial"/>
                <w:sz w:val="21"/>
                <w:szCs w:val="21"/>
                <w:lang w:eastAsia="zh-CN"/>
              </w:rPr>
            </w:pPr>
          </w:p>
          <w:p w:rsidR="00C21A8C" w:rsidRPr="00CA0689" w:rsidRDefault="00E25B1B" w:rsidP="009E293D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9E293D">
              <w:rPr>
                <w:rFonts w:ascii="Arial" w:eastAsia="华文细黑" w:hAnsi="Arial" w:hint="eastAsia"/>
                <w:sz w:val="21"/>
              </w:rPr>
              <w:t>拨备覆盖率</w:t>
            </w:r>
            <w:r>
              <w:rPr>
                <w:rFonts w:ascii="Arial" w:eastAsia="华文细黑" w:hAnsi="Arial" w:hint="eastAsia"/>
                <w:sz w:val="21"/>
              </w:rPr>
              <w:t>情况</w:t>
            </w:r>
            <w:r w:rsidR="009E293D" w:rsidRPr="009E293D">
              <w:rPr>
                <w:rFonts w:ascii="Arial" w:eastAsia="华文细黑" w:hAnsi="Arial" w:hint="eastAsia"/>
                <w:sz w:val="21"/>
              </w:rPr>
              <w:t>？</w:t>
            </w:r>
          </w:p>
          <w:p w:rsidR="00C21A8C" w:rsidRPr="00CA0689" w:rsidRDefault="009E293D" w:rsidP="009E293D">
            <w:pPr>
              <w:adjustRightInd w:val="0"/>
              <w:snapToGrid w:val="0"/>
              <w:ind w:firstLineChars="200" w:firstLine="420"/>
              <w:rPr>
                <w:rStyle w:val="a8"/>
                <w:rFonts w:ascii="Arial" w:eastAsia="华文细黑" w:hAnsi="Arial" w:cs="Arial"/>
                <w:sz w:val="21"/>
                <w:szCs w:val="21"/>
                <w:lang w:eastAsia="zh-CN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2018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年末，本行拨备覆盖率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155.24%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，较上年末上升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4.16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个百分点，较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2016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年末略降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0.13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个百分点；拨贷比为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2.71%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，较上年末上升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0.14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个百分点，与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2016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年末持平；</w:t>
            </w:r>
            <w:r w:rsidR="00AD052D">
              <w:rPr>
                <w:rFonts w:ascii="Arial" w:eastAsia="华文细黑" w:hAnsi="Arial" w:hint="eastAsia"/>
                <w:sz w:val="21"/>
                <w:szCs w:val="21"/>
              </w:rPr>
              <w:t>未来将通过各种措施不断提升拨备增强风险抵御能力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</w:p>
          <w:p w:rsidR="00C21A8C" w:rsidRDefault="00C21A8C" w:rsidP="005B3BAE">
            <w:pPr>
              <w:adjustRightInd w:val="0"/>
              <w:snapToGrid w:val="0"/>
              <w:spacing w:afterLines="20" w:after="62"/>
              <w:rPr>
                <w:rStyle w:val="a8"/>
                <w:rFonts w:ascii="Arial" w:eastAsia="华文细黑" w:hAnsi="Arial" w:cs="Arial" w:hint="eastAsia"/>
                <w:sz w:val="21"/>
                <w:szCs w:val="21"/>
                <w:lang w:eastAsia="zh-CN"/>
              </w:rPr>
            </w:pPr>
          </w:p>
          <w:p w:rsidR="00E25B1B" w:rsidRPr="00CA0689" w:rsidRDefault="00E25B1B" w:rsidP="00E25B1B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9E293D">
              <w:rPr>
                <w:rFonts w:ascii="Arial" w:eastAsia="华文细黑" w:hAnsi="Arial" w:hint="eastAsia"/>
                <w:sz w:val="21"/>
              </w:rPr>
              <w:t>理财子公司进展及目标？</w:t>
            </w:r>
          </w:p>
          <w:p w:rsidR="00E25B1B" w:rsidRPr="00E00681" w:rsidRDefault="00E25B1B" w:rsidP="00E25B1B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2018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年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6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月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6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日，本行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董事会已提交通了《关于设立资产管理子公司的议案》，目前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尚需监管机构的批准。</w:t>
            </w:r>
          </w:p>
          <w:p w:rsidR="00E25B1B" w:rsidRDefault="00E25B1B" w:rsidP="005B3BAE">
            <w:pPr>
              <w:adjustRightInd w:val="0"/>
              <w:snapToGrid w:val="0"/>
              <w:spacing w:afterLines="20" w:after="62"/>
              <w:rPr>
                <w:rStyle w:val="a8"/>
                <w:rFonts w:ascii="Arial" w:eastAsia="华文细黑" w:hAnsi="Arial" w:cs="Arial" w:hint="eastAsia"/>
                <w:sz w:val="21"/>
                <w:szCs w:val="21"/>
                <w:lang w:eastAsia="zh-CN"/>
              </w:rPr>
            </w:pPr>
          </w:p>
          <w:p w:rsidR="00AD052D" w:rsidRPr="00CA0689" w:rsidRDefault="00AD052D" w:rsidP="00AD052D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C87159">
              <w:rPr>
                <w:rFonts w:ascii="Arial" w:eastAsia="华文细黑" w:hAnsi="Arial" w:hint="eastAsia"/>
                <w:sz w:val="21"/>
              </w:rPr>
              <w:t>信用卡业务发展情况？</w:t>
            </w:r>
          </w:p>
          <w:p w:rsidR="002120FC" w:rsidRDefault="00AD052D" w:rsidP="00AD052D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 w:hint="eastAsia"/>
                <w:sz w:val="21"/>
                <w:szCs w:val="21"/>
              </w:rPr>
            </w:pPr>
            <w:bookmarkStart w:id="10" w:name="_GoBack"/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2018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年末，本行信用卡业务继续保持稳健增长</w:t>
            </w:r>
            <w:r w:rsidR="002120FC">
              <w:rPr>
                <w:rFonts w:ascii="Arial" w:eastAsia="华文细黑" w:hAnsi="Arial" w:hint="eastAsia"/>
                <w:sz w:val="21"/>
                <w:szCs w:val="21"/>
              </w:rPr>
              <w:t>：</w:t>
            </w:r>
          </w:p>
          <w:p w:rsidR="002120FC" w:rsidRDefault="002120FC" w:rsidP="00AD052D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 w:hint="eastAsia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1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流通卡量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5,152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万张，较上年末增长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34.4%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</w:p>
          <w:p w:rsidR="002120FC" w:rsidRDefault="002120FC" w:rsidP="00AD052D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 w:hint="eastAsia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2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全年累计新增发卡量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1,737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万张，同比增长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15.1%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</w:p>
          <w:p w:rsidR="002120FC" w:rsidRDefault="002120FC" w:rsidP="00AD052D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 w:hint="eastAsia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3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总交易金额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27,248.07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亿元，同比增长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76.1%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</w:p>
          <w:p w:rsidR="002120FC" w:rsidRDefault="002120FC" w:rsidP="00AD052D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 w:hint="eastAsia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4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贷款余额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4,732.95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亿元，较上年末增长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55.9%</w:t>
            </w:r>
            <w:r w:rsidR="00AD052D" w:rsidRPr="00C87159"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</w:p>
          <w:p w:rsidR="00AD052D" w:rsidRDefault="00AD052D" w:rsidP="00AD052D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 w:hint="eastAsia"/>
                <w:sz w:val="21"/>
                <w:szCs w:val="21"/>
              </w:rPr>
            </w:pP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2018</w:t>
            </w:r>
            <w:r w:rsidR="002120FC">
              <w:rPr>
                <w:rFonts w:ascii="Arial" w:eastAsia="华文细黑" w:hAnsi="Arial" w:hint="eastAsia"/>
                <w:sz w:val="21"/>
                <w:szCs w:val="21"/>
              </w:rPr>
              <w:t>年，信用卡丰富产品体系，扩大品牌营销力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；全新打造卡权分离平台，满足客户个性化、定制化、差异化的需求；大力布局互联网获客，加强线上线下融合，有效提升获客效率。</w:t>
            </w:r>
            <w:bookmarkEnd w:id="10"/>
          </w:p>
          <w:p w:rsidR="00E25B1B" w:rsidRDefault="00E25B1B" w:rsidP="00E25B1B">
            <w:pPr>
              <w:adjustRightInd w:val="0"/>
              <w:snapToGrid w:val="0"/>
              <w:spacing w:afterLines="20" w:after="62"/>
              <w:rPr>
                <w:rStyle w:val="a8"/>
                <w:rFonts w:ascii="Arial" w:eastAsia="华文细黑" w:hAnsi="Arial" w:cs="Arial"/>
                <w:sz w:val="21"/>
                <w:szCs w:val="21"/>
                <w:lang w:eastAsia="zh-CN"/>
              </w:rPr>
            </w:pPr>
          </w:p>
          <w:bookmarkEnd w:id="2"/>
          <w:bookmarkEnd w:id="3"/>
          <w:p w:rsidR="00E25B1B" w:rsidRPr="00E00681" w:rsidRDefault="00E25B1B" w:rsidP="00E25B1B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DA02F5">
              <w:rPr>
                <w:rFonts w:ascii="Arial" w:eastAsia="华文细黑" w:hAnsi="Arial" w:hint="eastAsia"/>
                <w:sz w:val="21"/>
              </w:rPr>
              <w:t>现在集团的</w:t>
            </w:r>
            <w:r w:rsidRPr="00DA02F5">
              <w:rPr>
                <w:rFonts w:ascii="Arial" w:eastAsia="华文细黑" w:hAnsi="Arial" w:hint="eastAsia"/>
                <w:sz w:val="21"/>
              </w:rPr>
              <w:t>1.</w:t>
            </w:r>
            <w:r>
              <w:rPr>
                <w:rFonts w:ascii="Arial" w:eastAsia="华文细黑" w:hAnsi="Arial" w:hint="eastAsia"/>
                <w:sz w:val="21"/>
              </w:rPr>
              <w:t>8</w:t>
            </w:r>
            <w:r w:rsidRPr="00DA02F5">
              <w:rPr>
                <w:rFonts w:ascii="Arial" w:eastAsia="华文细黑" w:hAnsi="Arial" w:hint="eastAsia"/>
                <w:sz w:val="21"/>
              </w:rPr>
              <w:t>亿客户未来是否都能变成银行客户</w:t>
            </w:r>
          </w:p>
          <w:p w:rsidR="00E25B1B" w:rsidRPr="00DA02F5" w:rsidRDefault="00E25B1B" w:rsidP="00E25B1B">
            <w:pPr>
              <w:adjustRightInd w:val="0"/>
              <w:snapToGrid w:val="0"/>
              <w:ind w:firstLineChars="150" w:firstLine="315"/>
              <w:rPr>
                <w:rFonts w:ascii="Arial" w:eastAsia="华文细黑" w:hAnsi="Arial"/>
                <w:sz w:val="21"/>
                <w:szCs w:val="21"/>
              </w:rPr>
            </w:pPr>
            <w:r w:rsidRPr="00DA02F5">
              <w:rPr>
                <w:rFonts w:ascii="Arial" w:eastAsia="华文细黑" w:hAnsi="Arial" w:hint="eastAsia"/>
                <w:sz w:val="21"/>
                <w:szCs w:val="21"/>
              </w:rPr>
              <w:t>全部转换是不可能的。我们要创造好的服务和场景，争取尽可能多的转化。</w:t>
            </w:r>
          </w:p>
          <w:p w:rsidR="00AD052D" w:rsidRDefault="00AD052D" w:rsidP="00AD052D">
            <w:pPr>
              <w:adjustRightInd w:val="0"/>
              <w:snapToGrid w:val="0"/>
              <w:spacing w:afterLines="20" w:after="62"/>
              <w:rPr>
                <w:rStyle w:val="a8"/>
                <w:rFonts w:ascii="Arial" w:eastAsia="华文细黑" w:hAnsi="Arial" w:hint="eastAsia"/>
                <w:smallCaps/>
                <w:sz w:val="21"/>
                <w:szCs w:val="21"/>
                <w:lang w:val="en-US" w:eastAsia="zh-CN"/>
              </w:rPr>
            </w:pPr>
          </w:p>
          <w:p w:rsidR="00E25B1B" w:rsidRPr="00CA0689" w:rsidRDefault="00E25B1B" w:rsidP="00E25B1B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C87159">
              <w:rPr>
                <w:rFonts w:ascii="Arial" w:eastAsia="华文细黑" w:hAnsi="Arial" w:hint="eastAsia"/>
                <w:sz w:val="21"/>
              </w:rPr>
              <w:t>口袋</w:t>
            </w:r>
            <w:r w:rsidRPr="00C87159">
              <w:rPr>
                <w:rFonts w:ascii="Arial" w:eastAsia="华文细黑" w:hAnsi="Arial" w:hint="eastAsia"/>
                <w:sz w:val="21"/>
              </w:rPr>
              <w:t>APP</w:t>
            </w:r>
            <w:r>
              <w:rPr>
                <w:rFonts w:ascii="Arial" w:eastAsia="华文细黑" w:hAnsi="Arial" w:hint="eastAsia"/>
                <w:sz w:val="21"/>
              </w:rPr>
              <w:t>的定位和运行情况</w:t>
            </w:r>
            <w:r w:rsidRPr="009E293D">
              <w:rPr>
                <w:rFonts w:ascii="Arial" w:eastAsia="华文细黑" w:hAnsi="Arial" w:hint="eastAsia"/>
                <w:sz w:val="21"/>
              </w:rPr>
              <w:t>？</w:t>
            </w:r>
          </w:p>
          <w:p w:rsidR="00E25B1B" w:rsidRPr="00CA0689" w:rsidRDefault="00E25B1B" w:rsidP="00E25B1B">
            <w:pPr>
              <w:adjustRightInd w:val="0"/>
              <w:snapToGrid w:val="0"/>
              <w:spacing w:afterLines="20" w:after="62"/>
              <w:ind w:firstLine="442"/>
              <w:rPr>
                <w:rStyle w:val="a8"/>
                <w:rFonts w:ascii="Arial" w:eastAsia="华文细黑" w:hAnsi="Arial"/>
                <w:smallCaps/>
                <w:sz w:val="21"/>
                <w:szCs w:val="21"/>
              </w:rPr>
            </w:pP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2018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年末平安口袋银行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APP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注册客户数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6,225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万户，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2018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年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12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月平安口袋银行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APP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月活客户数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2,588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万户、同比增长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74.6%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。平安口袋银行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APP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是以人工智能、生物识别、大数据、区块链、云计算等前沿科技为驱动，并在线上升级嵌入多种金融科技和服务。</w:t>
            </w:r>
          </w:p>
          <w:p w:rsidR="00E25B1B" w:rsidRPr="00E25B1B" w:rsidRDefault="00E25B1B" w:rsidP="00AD052D">
            <w:pPr>
              <w:adjustRightInd w:val="0"/>
              <w:snapToGrid w:val="0"/>
              <w:spacing w:afterLines="20" w:after="62"/>
              <w:rPr>
                <w:rStyle w:val="a8"/>
                <w:rFonts w:ascii="Arial" w:eastAsia="华文细黑" w:hAnsi="Arial" w:hint="eastAsia"/>
                <w:smallCaps/>
                <w:sz w:val="21"/>
                <w:szCs w:val="21"/>
                <w:lang w:val="en-US"/>
              </w:rPr>
            </w:pPr>
          </w:p>
          <w:p w:rsidR="00E25B1B" w:rsidRPr="00CA0689" w:rsidRDefault="00E25B1B" w:rsidP="00E25B1B">
            <w:pPr>
              <w:pStyle w:val="3"/>
              <w:outlineLvl w:val="2"/>
              <w:rPr>
                <w:rFonts w:ascii="Arial" w:eastAsia="华文细黑" w:hAnsi="Arial"/>
                <w:lang w:eastAsia="zh-TW"/>
              </w:rPr>
            </w:pPr>
            <w:r w:rsidRPr="009E293D">
              <w:rPr>
                <w:rFonts w:ascii="Arial" w:eastAsia="华文细黑" w:hAnsi="Arial" w:hint="eastAsia"/>
                <w:lang w:eastAsia="zh-TW"/>
              </w:rPr>
              <w:t>科技的投入和成果如何</w:t>
            </w:r>
            <w:r>
              <w:rPr>
                <w:rFonts w:ascii="Arial" w:eastAsia="华文细黑" w:hAnsi="Arial" w:hint="eastAsia"/>
                <w:lang w:eastAsia="zh-TW"/>
              </w:rPr>
              <w:t>？</w:t>
            </w:r>
          </w:p>
          <w:p w:rsidR="00416615" w:rsidRDefault="00416615" w:rsidP="00416615">
            <w:pPr>
              <w:ind w:firstLineChars="200" w:firstLine="420"/>
              <w:rPr>
                <w:rFonts w:ascii="Arial" w:eastAsia="华文细黑" w:hAnsi="Arial" w:hint="eastAsia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本行将“科技引领”作为全行首要发展战略方针。科技投入方面，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2018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年，本行科技投入大幅增加，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IT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资本性支出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25.75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亿元、同比增长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82%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</w:p>
          <w:p w:rsidR="00416615" w:rsidRDefault="00416615" w:rsidP="00416615">
            <w:pPr>
              <w:ind w:firstLineChars="200" w:firstLine="420"/>
              <w:rPr>
                <w:rFonts w:ascii="Arial" w:eastAsia="华文细黑" w:hAnsi="Arial" w:hint="eastAsia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科技治理方面，本行制定了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IT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三年（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2019-2021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）发展规划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</w:p>
          <w:p w:rsidR="00416615" w:rsidRDefault="00416615" w:rsidP="00416615">
            <w:pPr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科技创新方面，依托平安集团在人工智能、区块链、云计算等领域的核心技术和资源，利用新技术赋能业务，持续提升客户体验、丰富金融产品、创新业务模式、完善风控体系、优化运营效率、促进智慧管理。“科技引领”推动战略转型已初见成效。</w:t>
            </w:r>
          </w:p>
          <w:bookmarkEnd w:id="4"/>
          <w:bookmarkEnd w:id="5"/>
          <w:bookmarkEnd w:id="6"/>
          <w:bookmarkEnd w:id="7"/>
          <w:p w:rsidR="008B3EDE" w:rsidRDefault="008B3EDE" w:rsidP="005B3BAE">
            <w:pPr>
              <w:snapToGrid w:val="0"/>
              <w:spacing w:afterLines="20" w:after="62"/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</w:pPr>
          </w:p>
          <w:p w:rsidR="00E25B1B" w:rsidRPr="00CA0689" w:rsidRDefault="00E25B1B" w:rsidP="00E25B1B">
            <w:pPr>
              <w:pStyle w:val="3"/>
              <w:outlineLvl w:val="2"/>
              <w:rPr>
                <w:rFonts w:ascii="Arial" w:eastAsia="华文细黑" w:hAnsi="Arial"/>
                <w:lang w:eastAsia="zh-TW"/>
              </w:rPr>
            </w:pPr>
            <w:r>
              <w:rPr>
                <w:rFonts w:ascii="Arial" w:eastAsia="华文细黑" w:hAnsi="Arial" w:hint="eastAsia"/>
              </w:rPr>
              <w:t>贵行</w:t>
            </w:r>
            <w:r w:rsidRPr="00C87159">
              <w:rPr>
                <w:rFonts w:ascii="Arial" w:eastAsia="华文细黑" w:hAnsi="Arial" w:hint="eastAsia"/>
                <w:lang w:eastAsia="zh-TW"/>
              </w:rPr>
              <w:t>发行可转债后，资本充足率情况？</w:t>
            </w:r>
          </w:p>
          <w:p w:rsidR="00E25B1B" w:rsidRDefault="00E25B1B" w:rsidP="00E25B1B">
            <w:pPr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2018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年末，本行核心一级资本充足率、一级资本充足率及资本充足率分别为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8.54%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，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9.39%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及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11.50%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，均满足监管达标要求，较上年末分别提高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0.26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、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0.21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及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0.30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个百分点。本行已于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1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月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25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日完成了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260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亿元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A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股可转换公司债券的发行，其中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37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亿元权益部分直接计入核心一级资本，其余部分将于转股后陆续补充本行核心一级资本，进一步提高资本充足水平。</w:t>
            </w:r>
          </w:p>
          <w:p w:rsidR="00E25B1B" w:rsidRDefault="00E25B1B" w:rsidP="005B3BAE">
            <w:pPr>
              <w:snapToGrid w:val="0"/>
              <w:spacing w:afterLines="20" w:after="62"/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</w:pPr>
          </w:p>
          <w:p w:rsidR="00E25B1B" w:rsidRPr="00E25B1B" w:rsidRDefault="00E25B1B" w:rsidP="005B3BAE">
            <w:pPr>
              <w:snapToGrid w:val="0"/>
              <w:spacing w:afterLines="20" w:after="62"/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</w:pPr>
          </w:p>
          <w:p w:rsidR="00CC12EA" w:rsidRPr="00CA0689" w:rsidRDefault="00A140B8" w:rsidP="00E00681">
            <w:pPr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  <w:lang w:val="zh-TW"/>
              </w:rPr>
            </w:pPr>
            <w:r w:rsidRPr="00CA0689">
              <w:rPr>
                <w:rStyle w:val="a8"/>
                <w:rFonts w:ascii="Arial" w:eastAsia="华文细黑" w:hAnsi="Arial" w:hint="eastAsia"/>
                <w:sz w:val="21"/>
                <w:szCs w:val="21"/>
              </w:rPr>
              <w:t>接待过程中，公司接待人员与投资者进行了充分的交流与沟通，严格按照有关制度规定，没有出现未公开重大信息泄露等情况。</w:t>
            </w:r>
          </w:p>
        </w:tc>
      </w:tr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C21A8C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lastRenderedPageBreak/>
              <w:t>附件清单（如有）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6B0B04" w:rsidP="00C21A8C">
            <w:pPr>
              <w:jc w:val="left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201</w:t>
            </w:r>
            <w:r w:rsidR="00FD0E95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8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年</w:t>
            </w:r>
            <w:r w:rsidR="009E293D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三季</w:t>
            </w:r>
            <w:r w:rsidR="00C21A8C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报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业绩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PPT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（请参见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bank.pingan.com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投资者关系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-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公司推介栏目）</w:t>
            </w:r>
          </w:p>
        </w:tc>
      </w:tr>
      <w:tr w:rsidR="00EE1C10" w:rsidRPr="00CA0689" w:rsidTr="00C21A8C">
        <w:trPr>
          <w:trHeight w:val="3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C21A8C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761259" w:rsidP="009E293D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</w:t>
            </w:r>
            <w:r w:rsidR="009E293D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9</w:t>
            </w:r>
            <w:r w:rsidR="003F144D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.</w:t>
            </w:r>
            <w:r w:rsidR="009E293D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.</w:t>
            </w:r>
            <w:r w:rsidR="0049405C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</w:t>
            </w:r>
            <w:r w:rsidR="009E293D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0</w:t>
            </w:r>
          </w:p>
        </w:tc>
      </w:tr>
    </w:tbl>
    <w:p w:rsidR="00941F1C" w:rsidRPr="00CA0689" w:rsidRDefault="00941F1C" w:rsidP="00862CF2">
      <w:pPr>
        <w:rPr>
          <w:rFonts w:ascii="Arial" w:eastAsia="华文细黑" w:hAnsi="Arial"/>
          <w:szCs w:val="21"/>
        </w:rPr>
      </w:pPr>
    </w:p>
    <w:sectPr w:rsidR="00941F1C" w:rsidRPr="00CA0689" w:rsidSect="0049405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9D" w:rsidRDefault="0082259D" w:rsidP="00D96584">
      <w:r>
        <w:separator/>
      </w:r>
    </w:p>
  </w:endnote>
  <w:endnote w:type="continuationSeparator" w:id="0">
    <w:p w:rsidR="0082259D" w:rsidRDefault="0082259D" w:rsidP="00D9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准圆_GBK_平安专用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9D" w:rsidRDefault="0082259D" w:rsidP="00D96584">
      <w:r>
        <w:separator/>
      </w:r>
    </w:p>
  </w:footnote>
  <w:footnote w:type="continuationSeparator" w:id="0">
    <w:p w:rsidR="0082259D" w:rsidRDefault="0082259D" w:rsidP="00D9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0C2"/>
    <w:multiLevelType w:val="hybridMultilevel"/>
    <w:tmpl w:val="0E6473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F5992"/>
    <w:multiLevelType w:val="hybridMultilevel"/>
    <w:tmpl w:val="FFD8AA9E"/>
    <w:lvl w:ilvl="0" w:tplc="B818F4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A80BC4E">
      <w:start w:val="1"/>
      <w:numFmt w:val="bullet"/>
      <w:lvlText w:val="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2" w:tplc="B57CE62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56828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F6794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56279E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126EB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F2626E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174753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7D07EC"/>
    <w:multiLevelType w:val="multilevel"/>
    <w:tmpl w:val="429844D0"/>
    <w:lvl w:ilvl="0">
      <w:start w:val="1"/>
      <w:numFmt w:val="decimal"/>
      <w:pStyle w:val="FAQ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C304D8B"/>
    <w:multiLevelType w:val="multilevel"/>
    <w:tmpl w:val="E29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757A4"/>
    <w:multiLevelType w:val="hybridMultilevel"/>
    <w:tmpl w:val="1BB09DFC"/>
    <w:lvl w:ilvl="0" w:tplc="A3E4D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A14E31"/>
    <w:multiLevelType w:val="hybridMultilevel"/>
    <w:tmpl w:val="B672E7CC"/>
    <w:lvl w:ilvl="0" w:tplc="181EB6B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E28CD87E" w:tentative="1">
      <w:start w:val="1"/>
      <w:numFmt w:val="lowerLetter"/>
      <w:lvlText w:val="%2)"/>
      <w:lvlJc w:val="left"/>
      <w:pPr>
        <w:ind w:left="840" w:hanging="420"/>
      </w:pPr>
    </w:lvl>
    <w:lvl w:ilvl="2" w:tplc="D604EFA6" w:tentative="1">
      <w:start w:val="1"/>
      <w:numFmt w:val="lowerRoman"/>
      <w:lvlText w:val="%3."/>
      <w:lvlJc w:val="right"/>
      <w:pPr>
        <w:ind w:left="1260" w:hanging="420"/>
      </w:pPr>
    </w:lvl>
    <w:lvl w:ilvl="3" w:tplc="7CBCA43A" w:tentative="1">
      <w:start w:val="1"/>
      <w:numFmt w:val="decimal"/>
      <w:lvlText w:val="%4."/>
      <w:lvlJc w:val="left"/>
      <w:pPr>
        <w:ind w:left="1680" w:hanging="420"/>
      </w:pPr>
    </w:lvl>
    <w:lvl w:ilvl="4" w:tplc="CE36A14E" w:tentative="1">
      <w:start w:val="1"/>
      <w:numFmt w:val="lowerLetter"/>
      <w:lvlText w:val="%5)"/>
      <w:lvlJc w:val="left"/>
      <w:pPr>
        <w:ind w:left="2100" w:hanging="420"/>
      </w:pPr>
    </w:lvl>
    <w:lvl w:ilvl="5" w:tplc="A1748F72" w:tentative="1">
      <w:start w:val="1"/>
      <w:numFmt w:val="lowerRoman"/>
      <w:lvlText w:val="%6."/>
      <w:lvlJc w:val="right"/>
      <w:pPr>
        <w:ind w:left="2520" w:hanging="420"/>
      </w:pPr>
    </w:lvl>
    <w:lvl w:ilvl="6" w:tplc="A1523FBE" w:tentative="1">
      <w:start w:val="1"/>
      <w:numFmt w:val="decimal"/>
      <w:lvlText w:val="%7."/>
      <w:lvlJc w:val="left"/>
      <w:pPr>
        <w:ind w:left="2940" w:hanging="420"/>
      </w:pPr>
    </w:lvl>
    <w:lvl w:ilvl="7" w:tplc="BDF04C12" w:tentative="1">
      <w:start w:val="1"/>
      <w:numFmt w:val="lowerLetter"/>
      <w:lvlText w:val="%8)"/>
      <w:lvlJc w:val="left"/>
      <w:pPr>
        <w:ind w:left="3360" w:hanging="420"/>
      </w:pPr>
    </w:lvl>
    <w:lvl w:ilvl="8" w:tplc="A7AA92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531BD9"/>
    <w:multiLevelType w:val="hybridMultilevel"/>
    <w:tmpl w:val="C186B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7D63B9"/>
    <w:multiLevelType w:val="hybridMultilevel"/>
    <w:tmpl w:val="E3E0A0E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B427BE6"/>
    <w:multiLevelType w:val="multilevel"/>
    <w:tmpl w:val="EBBC1982"/>
    <w:styleLink w:val="List1"/>
    <w:lvl w:ilvl="0">
      <w:start w:val="15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>
    <w:nsid w:val="1E3055A1"/>
    <w:multiLevelType w:val="hybridMultilevel"/>
    <w:tmpl w:val="9314D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8AC1786"/>
    <w:multiLevelType w:val="hybridMultilevel"/>
    <w:tmpl w:val="29CCDE1C"/>
    <w:lvl w:ilvl="0" w:tplc="015C8DD2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2A8031BB"/>
    <w:multiLevelType w:val="hybridMultilevel"/>
    <w:tmpl w:val="2E04D3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BF1A32"/>
    <w:multiLevelType w:val="hybridMultilevel"/>
    <w:tmpl w:val="8D9E8B94"/>
    <w:lvl w:ilvl="0" w:tplc="62143354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35D16322"/>
    <w:multiLevelType w:val="hybridMultilevel"/>
    <w:tmpl w:val="FBCEA6A2"/>
    <w:lvl w:ilvl="0" w:tplc="419EDC28">
      <w:start w:val="1"/>
      <w:numFmt w:val="decimal"/>
      <w:pStyle w:val="3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38B6A0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4B7E0">
      <w:start w:val="1"/>
      <w:numFmt w:val="lowerRoman"/>
      <w:lvlText w:val="%3."/>
      <w:lvlJc w:val="left"/>
      <w:pPr>
        <w:ind w:left="126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3C79BA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EC622E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B0F912">
      <w:start w:val="1"/>
      <w:numFmt w:val="lowerRoman"/>
      <w:lvlText w:val="%6."/>
      <w:lvlJc w:val="left"/>
      <w:pPr>
        <w:ind w:left="252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383F64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6E407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CCD3BE">
      <w:start w:val="1"/>
      <w:numFmt w:val="lowerRoman"/>
      <w:lvlText w:val="%9."/>
      <w:lvlJc w:val="left"/>
      <w:pPr>
        <w:ind w:left="378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38C92885"/>
    <w:multiLevelType w:val="hybridMultilevel"/>
    <w:tmpl w:val="3BC8BA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FD51C9B"/>
    <w:multiLevelType w:val="hybridMultilevel"/>
    <w:tmpl w:val="1AD83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18D7EF7"/>
    <w:multiLevelType w:val="hybridMultilevel"/>
    <w:tmpl w:val="C87CB43A"/>
    <w:lvl w:ilvl="0" w:tplc="E4F647EE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2E624B2"/>
    <w:multiLevelType w:val="hybridMultilevel"/>
    <w:tmpl w:val="C51C5F94"/>
    <w:lvl w:ilvl="0" w:tplc="14B84E06">
      <w:start w:val="3"/>
      <w:numFmt w:val="decimal"/>
      <w:lvlText w:val="%1，"/>
      <w:lvlJc w:val="left"/>
      <w:pPr>
        <w:ind w:left="720" w:hanging="72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5C23F02"/>
    <w:multiLevelType w:val="hybridMultilevel"/>
    <w:tmpl w:val="64C8DC7A"/>
    <w:lvl w:ilvl="0" w:tplc="761231E8">
      <w:start w:val="1"/>
      <w:numFmt w:val="decimal"/>
      <w:pStyle w:val="30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6D4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1B880F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E2A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E8E06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6410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C43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A6D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1B40E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B7F6B72"/>
    <w:multiLevelType w:val="hybridMultilevel"/>
    <w:tmpl w:val="2524439C"/>
    <w:lvl w:ilvl="0" w:tplc="24D0BD9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48A8C7F8">
      <w:start w:val="1"/>
      <w:numFmt w:val="decimal"/>
      <w:lvlText w:val="%2、"/>
      <w:lvlJc w:val="left"/>
      <w:pPr>
        <w:tabs>
          <w:tab w:val="num" w:pos="354"/>
        </w:tabs>
        <w:ind w:left="354" w:hanging="360"/>
      </w:pPr>
      <w:rPr>
        <w:rFonts w:hint="eastAsia"/>
      </w:rPr>
    </w:lvl>
    <w:lvl w:ilvl="2" w:tplc="036C89F6" w:tentative="1">
      <w:start w:val="1"/>
      <w:numFmt w:val="lowerRoman"/>
      <w:lvlText w:val="%3."/>
      <w:lvlJc w:val="right"/>
      <w:pPr>
        <w:tabs>
          <w:tab w:val="num" w:pos="834"/>
        </w:tabs>
        <w:ind w:left="834" w:hanging="420"/>
      </w:pPr>
    </w:lvl>
    <w:lvl w:ilvl="3" w:tplc="09A8F47E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4B36B3DA" w:tentative="1">
      <w:start w:val="1"/>
      <w:numFmt w:val="lowerLetter"/>
      <w:lvlText w:val="%5)"/>
      <w:lvlJc w:val="left"/>
      <w:pPr>
        <w:tabs>
          <w:tab w:val="num" w:pos="1674"/>
        </w:tabs>
        <w:ind w:left="1674" w:hanging="420"/>
      </w:pPr>
    </w:lvl>
    <w:lvl w:ilvl="5" w:tplc="5D0E630A" w:tentative="1">
      <w:start w:val="1"/>
      <w:numFmt w:val="lowerRoman"/>
      <w:lvlText w:val="%6."/>
      <w:lvlJc w:val="right"/>
      <w:pPr>
        <w:tabs>
          <w:tab w:val="num" w:pos="2094"/>
        </w:tabs>
        <w:ind w:left="2094" w:hanging="420"/>
      </w:pPr>
    </w:lvl>
    <w:lvl w:ilvl="6" w:tplc="FD96FC00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57967AA6" w:tentative="1">
      <w:start w:val="1"/>
      <w:numFmt w:val="lowerLetter"/>
      <w:lvlText w:val="%8)"/>
      <w:lvlJc w:val="left"/>
      <w:pPr>
        <w:tabs>
          <w:tab w:val="num" w:pos="2934"/>
        </w:tabs>
        <w:ind w:left="2934" w:hanging="420"/>
      </w:pPr>
    </w:lvl>
    <w:lvl w:ilvl="8" w:tplc="AA646454" w:tentative="1">
      <w:start w:val="1"/>
      <w:numFmt w:val="lowerRoman"/>
      <w:lvlText w:val="%9."/>
      <w:lvlJc w:val="right"/>
      <w:pPr>
        <w:tabs>
          <w:tab w:val="num" w:pos="3354"/>
        </w:tabs>
        <w:ind w:left="3354" w:hanging="420"/>
      </w:pPr>
    </w:lvl>
  </w:abstractNum>
  <w:abstractNum w:abstractNumId="20">
    <w:nsid w:val="5F7717ED"/>
    <w:multiLevelType w:val="hybridMultilevel"/>
    <w:tmpl w:val="0920902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>
    <w:nsid w:val="602A7B66"/>
    <w:multiLevelType w:val="multilevel"/>
    <w:tmpl w:val="97AAD274"/>
    <w:lvl w:ilvl="0">
      <w:start w:val="2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2">
    <w:nsid w:val="666C0CB7"/>
    <w:multiLevelType w:val="hybridMultilevel"/>
    <w:tmpl w:val="86B2FF9C"/>
    <w:lvl w:ilvl="0" w:tplc="BF780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70A3D84"/>
    <w:multiLevelType w:val="hybridMultilevel"/>
    <w:tmpl w:val="795AD96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>
    <w:nsid w:val="74750563"/>
    <w:multiLevelType w:val="hybridMultilevel"/>
    <w:tmpl w:val="98742676"/>
    <w:lvl w:ilvl="0" w:tplc="04090001">
      <w:start w:val="1"/>
      <w:numFmt w:val="bullet"/>
      <w:lvlText w:val=""/>
      <w:lvlJc w:val="left"/>
      <w:pPr>
        <w:ind w:left="8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25">
    <w:nsid w:val="75144018"/>
    <w:multiLevelType w:val="hybridMultilevel"/>
    <w:tmpl w:val="23AE4E20"/>
    <w:lvl w:ilvl="0" w:tplc="D37AAD48">
      <w:start w:val="1"/>
      <w:numFmt w:val="bullet"/>
      <w:lvlText w:val="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6">
    <w:nsid w:val="7530778C"/>
    <w:multiLevelType w:val="hybridMultilevel"/>
    <w:tmpl w:val="149C09E0"/>
    <w:lvl w:ilvl="0" w:tplc="04090001">
      <w:start w:val="1"/>
      <w:numFmt w:val="bullet"/>
      <w:lvlText w:val=""/>
      <w:lvlJc w:val="left"/>
      <w:pPr>
        <w:ind w:left="73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4" w:hanging="420"/>
      </w:pPr>
      <w:rPr>
        <w:rFonts w:ascii="Wingdings" w:hAnsi="Wingdings" w:hint="default"/>
      </w:rPr>
    </w:lvl>
  </w:abstractNum>
  <w:abstractNum w:abstractNumId="27">
    <w:nsid w:val="7D2420E2"/>
    <w:multiLevelType w:val="hybridMultilevel"/>
    <w:tmpl w:val="3E709AA6"/>
    <w:lvl w:ilvl="0" w:tplc="1CE0452C">
      <w:start w:val="1"/>
      <w:numFmt w:val="decimal"/>
      <w:lvlText w:val="%1，"/>
      <w:lvlJc w:val="left"/>
      <w:pPr>
        <w:ind w:left="720" w:hanging="720"/>
      </w:pPr>
      <w:rPr>
        <w:rFonts w:cs="Arial Unicode MS" w:hint="default"/>
      </w:rPr>
    </w:lvl>
    <w:lvl w:ilvl="1" w:tplc="9DBE0DC6" w:tentative="1">
      <w:start w:val="1"/>
      <w:numFmt w:val="lowerLetter"/>
      <w:lvlText w:val="%2)"/>
      <w:lvlJc w:val="left"/>
      <w:pPr>
        <w:ind w:left="840" w:hanging="420"/>
      </w:pPr>
    </w:lvl>
    <w:lvl w:ilvl="2" w:tplc="DEA4CFF8" w:tentative="1">
      <w:start w:val="1"/>
      <w:numFmt w:val="lowerRoman"/>
      <w:lvlText w:val="%3."/>
      <w:lvlJc w:val="right"/>
      <w:pPr>
        <w:ind w:left="1260" w:hanging="420"/>
      </w:pPr>
    </w:lvl>
    <w:lvl w:ilvl="3" w:tplc="0ABC538C" w:tentative="1">
      <w:start w:val="1"/>
      <w:numFmt w:val="decimal"/>
      <w:lvlText w:val="%4."/>
      <w:lvlJc w:val="left"/>
      <w:pPr>
        <w:ind w:left="1680" w:hanging="420"/>
      </w:pPr>
    </w:lvl>
    <w:lvl w:ilvl="4" w:tplc="9B50DB78" w:tentative="1">
      <w:start w:val="1"/>
      <w:numFmt w:val="lowerLetter"/>
      <w:lvlText w:val="%5)"/>
      <w:lvlJc w:val="left"/>
      <w:pPr>
        <w:ind w:left="2100" w:hanging="420"/>
      </w:pPr>
    </w:lvl>
    <w:lvl w:ilvl="5" w:tplc="111CD4AA" w:tentative="1">
      <w:start w:val="1"/>
      <w:numFmt w:val="lowerRoman"/>
      <w:lvlText w:val="%6."/>
      <w:lvlJc w:val="right"/>
      <w:pPr>
        <w:ind w:left="2520" w:hanging="420"/>
      </w:pPr>
    </w:lvl>
    <w:lvl w:ilvl="6" w:tplc="2842DD04" w:tentative="1">
      <w:start w:val="1"/>
      <w:numFmt w:val="decimal"/>
      <w:lvlText w:val="%7."/>
      <w:lvlJc w:val="left"/>
      <w:pPr>
        <w:ind w:left="2940" w:hanging="420"/>
      </w:pPr>
    </w:lvl>
    <w:lvl w:ilvl="7" w:tplc="A33CAAEA" w:tentative="1">
      <w:start w:val="1"/>
      <w:numFmt w:val="lowerLetter"/>
      <w:lvlText w:val="%8)"/>
      <w:lvlJc w:val="left"/>
      <w:pPr>
        <w:ind w:left="3360" w:hanging="420"/>
      </w:pPr>
    </w:lvl>
    <w:lvl w:ilvl="8" w:tplc="4E86005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8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3"/>
  </w:num>
  <w:num w:numId="12">
    <w:abstractNumId w:val="21"/>
  </w:num>
  <w:num w:numId="13">
    <w:abstractNumId w:val="8"/>
  </w:num>
  <w:num w:numId="14">
    <w:abstractNumId w:val="27"/>
  </w:num>
  <w:num w:numId="15">
    <w:abstractNumId w:val="16"/>
  </w:num>
  <w:num w:numId="16">
    <w:abstractNumId w:val="17"/>
  </w:num>
  <w:num w:numId="17">
    <w:abstractNumId w:val="14"/>
  </w:num>
  <w:num w:numId="18">
    <w:abstractNumId w:val="2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2"/>
  </w:num>
  <w:num w:numId="22">
    <w:abstractNumId w:val="10"/>
  </w:num>
  <w:num w:numId="23">
    <w:abstractNumId w:val="11"/>
  </w:num>
  <w:num w:numId="24">
    <w:abstractNumId w:val="24"/>
  </w:num>
  <w:num w:numId="25">
    <w:abstractNumId w:val="26"/>
  </w:num>
  <w:num w:numId="26">
    <w:abstractNumId w:val="13"/>
  </w:num>
  <w:num w:numId="27">
    <w:abstractNumId w:val="2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13"/>
  </w:num>
  <w:num w:numId="32">
    <w:abstractNumId w:val="4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10"/>
    <w:rsid w:val="0005090F"/>
    <w:rsid w:val="00083D6A"/>
    <w:rsid w:val="000A2DF8"/>
    <w:rsid w:val="000B3693"/>
    <w:rsid w:val="000B41B6"/>
    <w:rsid w:val="00101C48"/>
    <w:rsid w:val="00130F3C"/>
    <w:rsid w:val="001434EB"/>
    <w:rsid w:val="001504C0"/>
    <w:rsid w:val="001516B8"/>
    <w:rsid w:val="0015535F"/>
    <w:rsid w:val="00161A96"/>
    <w:rsid w:val="00197FFA"/>
    <w:rsid w:val="001B33AC"/>
    <w:rsid w:val="001B72DE"/>
    <w:rsid w:val="001C10A8"/>
    <w:rsid w:val="001C4C8A"/>
    <w:rsid w:val="001D2529"/>
    <w:rsid w:val="001D5474"/>
    <w:rsid w:val="001E2C63"/>
    <w:rsid w:val="00210939"/>
    <w:rsid w:val="002120FC"/>
    <w:rsid w:val="00217D1A"/>
    <w:rsid w:val="002515C0"/>
    <w:rsid w:val="002721F3"/>
    <w:rsid w:val="002B200E"/>
    <w:rsid w:val="002B4EAA"/>
    <w:rsid w:val="002B5D00"/>
    <w:rsid w:val="003317E5"/>
    <w:rsid w:val="00375010"/>
    <w:rsid w:val="003B107D"/>
    <w:rsid w:val="003B721F"/>
    <w:rsid w:val="003C375D"/>
    <w:rsid w:val="003C42A4"/>
    <w:rsid w:val="003F144D"/>
    <w:rsid w:val="003F79D6"/>
    <w:rsid w:val="00413B4B"/>
    <w:rsid w:val="00416615"/>
    <w:rsid w:val="0043629D"/>
    <w:rsid w:val="0045059E"/>
    <w:rsid w:val="0049405C"/>
    <w:rsid w:val="00497C7E"/>
    <w:rsid w:val="004B47B1"/>
    <w:rsid w:val="004F6F03"/>
    <w:rsid w:val="00511122"/>
    <w:rsid w:val="0051123B"/>
    <w:rsid w:val="00535D6F"/>
    <w:rsid w:val="005464C3"/>
    <w:rsid w:val="00550FD9"/>
    <w:rsid w:val="005B3BAE"/>
    <w:rsid w:val="00622C3A"/>
    <w:rsid w:val="00623A26"/>
    <w:rsid w:val="0063326E"/>
    <w:rsid w:val="00684A13"/>
    <w:rsid w:val="006A1753"/>
    <w:rsid w:val="006B0B04"/>
    <w:rsid w:val="006C5210"/>
    <w:rsid w:val="006E4D55"/>
    <w:rsid w:val="006F64B3"/>
    <w:rsid w:val="00740C1A"/>
    <w:rsid w:val="00761259"/>
    <w:rsid w:val="00793203"/>
    <w:rsid w:val="007C213F"/>
    <w:rsid w:val="00803207"/>
    <w:rsid w:val="0082259D"/>
    <w:rsid w:val="00845B88"/>
    <w:rsid w:val="00853994"/>
    <w:rsid w:val="00862CF2"/>
    <w:rsid w:val="008710F9"/>
    <w:rsid w:val="00880699"/>
    <w:rsid w:val="0089673B"/>
    <w:rsid w:val="008A4E3E"/>
    <w:rsid w:val="008B3EDE"/>
    <w:rsid w:val="008C111F"/>
    <w:rsid w:val="008F16A2"/>
    <w:rsid w:val="00921892"/>
    <w:rsid w:val="00930952"/>
    <w:rsid w:val="00941F1C"/>
    <w:rsid w:val="00951547"/>
    <w:rsid w:val="009C5679"/>
    <w:rsid w:val="009E293D"/>
    <w:rsid w:val="009F13CD"/>
    <w:rsid w:val="00A06B39"/>
    <w:rsid w:val="00A140B8"/>
    <w:rsid w:val="00A87A56"/>
    <w:rsid w:val="00AA5A95"/>
    <w:rsid w:val="00AB47CE"/>
    <w:rsid w:val="00AB67BB"/>
    <w:rsid w:val="00AD052D"/>
    <w:rsid w:val="00B17ECB"/>
    <w:rsid w:val="00B31C4E"/>
    <w:rsid w:val="00B454CA"/>
    <w:rsid w:val="00B65391"/>
    <w:rsid w:val="00B708D6"/>
    <w:rsid w:val="00B71E2E"/>
    <w:rsid w:val="00B84A84"/>
    <w:rsid w:val="00BB741D"/>
    <w:rsid w:val="00BE11BC"/>
    <w:rsid w:val="00BE3743"/>
    <w:rsid w:val="00C12E89"/>
    <w:rsid w:val="00C21A8C"/>
    <w:rsid w:val="00C35BCB"/>
    <w:rsid w:val="00C51768"/>
    <w:rsid w:val="00C81677"/>
    <w:rsid w:val="00CA0689"/>
    <w:rsid w:val="00CA1629"/>
    <w:rsid w:val="00CB4AC9"/>
    <w:rsid w:val="00CC12EA"/>
    <w:rsid w:val="00CF7823"/>
    <w:rsid w:val="00D03DFD"/>
    <w:rsid w:val="00D06801"/>
    <w:rsid w:val="00D302B7"/>
    <w:rsid w:val="00D50045"/>
    <w:rsid w:val="00D87038"/>
    <w:rsid w:val="00D91B1B"/>
    <w:rsid w:val="00D96584"/>
    <w:rsid w:val="00DC7C3C"/>
    <w:rsid w:val="00DD1E65"/>
    <w:rsid w:val="00DE4B3F"/>
    <w:rsid w:val="00E00681"/>
    <w:rsid w:val="00E055AC"/>
    <w:rsid w:val="00E1525A"/>
    <w:rsid w:val="00E25B1B"/>
    <w:rsid w:val="00E37317"/>
    <w:rsid w:val="00E733AB"/>
    <w:rsid w:val="00EE1C10"/>
    <w:rsid w:val="00EE4F68"/>
    <w:rsid w:val="00EE7C01"/>
    <w:rsid w:val="00F16F75"/>
    <w:rsid w:val="00F628CA"/>
    <w:rsid w:val="00F66AD9"/>
    <w:rsid w:val="00FA1FC9"/>
    <w:rsid w:val="00FA7D26"/>
    <w:rsid w:val="00FC32FA"/>
    <w:rsid w:val="00FD0E95"/>
    <w:rsid w:val="00FE093E"/>
    <w:rsid w:val="00FE4AFD"/>
    <w:rsid w:val="00FF0263"/>
    <w:rsid w:val="00FF42D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C21A8C"/>
    <w:pPr>
      <w:widowControl/>
      <w:numPr>
        <w:numId w:val="26"/>
      </w:numPr>
      <w:tabs>
        <w:tab w:val="left" w:pos="0"/>
      </w:tabs>
      <w:overflowPunct w:val="0"/>
      <w:autoSpaceDE w:val="0"/>
      <w:autoSpaceDN w:val="0"/>
      <w:adjustRightInd w:val="0"/>
      <w:snapToGrid w:val="0"/>
      <w:spacing w:beforeLines="20" w:before="62" w:afterLines="20" w:after="62"/>
      <w:textAlignment w:val="baseline"/>
      <w:outlineLvl w:val="2"/>
    </w:pPr>
    <w:rPr>
      <w:rFonts w:asciiTheme="minorEastAsia" w:eastAsiaTheme="minorEastAsia" w:hAnsiTheme="minorEastAsia"/>
      <w:b/>
      <w:bCs/>
      <w:kern w:val="0"/>
      <w:szCs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"/>
    <w:uiPriority w:val="99"/>
    <w:rsid w:val="00C21A8C"/>
    <w:rPr>
      <w:rFonts w:asciiTheme="minorEastAsia" w:hAnsiTheme="minorEastAsia" w:cs="Times New Roman"/>
      <w:b/>
      <w:bCs/>
      <w:kern w:val="0"/>
      <w:szCs w:val="21"/>
      <w:lang w:bidi="he-IL"/>
    </w:rPr>
  </w:style>
  <w:style w:type="paragraph" w:customStyle="1" w:styleId="30">
    <w:name w:val="标题3"/>
    <w:basedOn w:val="3"/>
    <w:autoRedefine/>
    <w:rsid w:val="0043629D"/>
    <w:pPr>
      <w:keepNext/>
      <w:keepLines/>
      <w:numPr>
        <w:numId w:val="4"/>
      </w:numPr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"/>
    <w:link w:val="FAQ3Char"/>
    <w:qFormat/>
    <w:rsid w:val="00EE7C01"/>
    <w:pPr>
      <w:numPr>
        <w:numId w:val="6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rFonts w:asciiTheme="minorEastAsia" w:hAnsiTheme="minorEastAsia" w:cs="Times New Roman"/>
      <w:b/>
      <w:bCs/>
      <w:kern w:val="0"/>
      <w:sz w:val="24"/>
      <w:szCs w:val="21"/>
      <w:lang w:bidi="he-IL"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8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13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page number"/>
    <w:uiPriority w:val="99"/>
    <w:rsid w:val="002B5D00"/>
    <w:rPr>
      <w:lang w:val="zh-TW" w:eastAsia="zh-TW"/>
    </w:rPr>
  </w:style>
  <w:style w:type="paragraph" w:styleId="a9">
    <w:name w:val="Normal (Web)"/>
    <w:basedOn w:val="a"/>
    <w:uiPriority w:val="99"/>
    <w:rsid w:val="00E055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C21A8C"/>
    <w:pPr>
      <w:widowControl/>
      <w:numPr>
        <w:numId w:val="26"/>
      </w:numPr>
      <w:tabs>
        <w:tab w:val="left" w:pos="0"/>
      </w:tabs>
      <w:overflowPunct w:val="0"/>
      <w:autoSpaceDE w:val="0"/>
      <w:autoSpaceDN w:val="0"/>
      <w:adjustRightInd w:val="0"/>
      <w:snapToGrid w:val="0"/>
      <w:spacing w:beforeLines="20" w:before="62" w:afterLines="20" w:after="62"/>
      <w:textAlignment w:val="baseline"/>
      <w:outlineLvl w:val="2"/>
    </w:pPr>
    <w:rPr>
      <w:rFonts w:asciiTheme="minorEastAsia" w:eastAsiaTheme="minorEastAsia" w:hAnsiTheme="minorEastAsia"/>
      <w:b/>
      <w:bCs/>
      <w:kern w:val="0"/>
      <w:szCs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"/>
    <w:uiPriority w:val="99"/>
    <w:rsid w:val="00C21A8C"/>
    <w:rPr>
      <w:rFonts w:asciiTheme="minorEastAsia" w:hAnsiTheme="minorEastAsia" w:cs="Times New Roman"/>
      <w:b/>
      <w:bCs/>
      <w:kern w:val="0"/>
      <w:szCs w:val="21"/>
      <w:lang w:bidi="he-IL"/>
    </w:rPr>
  </w:style>
  <w:style w:type="paragraph" w:customStyle="1" w:styleId="30">
    <w:name w:val="标题3"/>
    <w:basedOn w:val="3"/>
    <w:autoRedefine/>
    <w:rsid w:val="0043629D"/>
    <w:pPr>
      <w:keepNext/>
      <w:keepLines/>
      <w:numPr>
        <w:numId w:val="4"/>
      </w:numPr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"/>
    <w:link w:val="FAQ3Char"/>
    <w:qFormat/>
    <w:rsid w:val="00EE7C01"/>
    <w:pPr>
      <w:numPr>
        <w:numId w:val="6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rFonts w:asciiTheme="minorEastAsia" w:hAnsiTheme="minorEastAsia" w:cs="Times New Roman"/>
      <w:b/>
      <w:bCs/>
      <w:kern w:val="0"/>
      <w:sz w:val="24"/>
      <w:szCs w:val="21"/>
      <w:lang w:bidi="he-IL"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8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13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page number"/>
    <w:uiPriority w:val="99"/>
    <w:rsid w:val="002B5D00"/>
    <w:rPr>
      <w:lang w:val="zh-TW" w:eastAsia="zh-TW"/>
    </w:rPr>
  </w:style>
  <w:style w:type="paragraph" w:styleId="a9">
    <w:name w:val="Normal (Web)"/>
    <w:basedOn w:val="a"/>
    <w:uiPriority w:val="99"/>
    <w:rsid w:val="00E055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353</Words>
  <Characters>2018</Characters>
  <Application>Microsoft Office Word</Application>
  <DocSecurity>0</DocSecurity>
  <Lines>16</Lines>
  <Paragraphs>4</Paragraphs>
  <ScaleCrop>false</ScaleCrop>
  <Company>sdb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Gao</dc:creator>
  <cp:lastModifiedBy>李稀真</cp:lastModifiedBy>
  <cp:revision>4</cp:revision>
  <dcterms:created xsi:type="dcterms:W3CDTF">2019-04-17T06:31:00Z</dcterms:created>
  <dcterms:modified xsi:type="dcterms:W3CDTF">2019-04-19T10:15:00Z</dcterms:modified>
</cp:coreProperties>
</file>