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10" w:rsidRPr="00CA0689" w:rsidRDefault="00EE1C10" w:rsidP="00E055AC">
      <w:pPr>
        <w:spacing w:beforeLines="50" w:before="156" w:afterLines="50" w:after="156"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证券代码：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000001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证券简称：</w:t>
      </w:r>
      <w:r w:rsidR="00D96584" w:rsidRPr="00CA0689">
        <w:rPr>
          <w:rFonts w:ascii="Arial" w:eastAsia="华文细黑" w:hAnsi="Arial" w:hint="eastAsia"/>
          <w:bCs/>
          <w:iCs/>
          <w:color w:val="000000"/>
          <w:szCs w:val="21"/>
        </w:rPr>
        <w:t>平安银行</w:t>
      </w:r>
    </w:p>
    <w:p w:rsidR="00EE1C10" w:rsidRPr="00CA0689" w:rsidRDefault="003317E5" w:rsidP="00E055AC">
      <w:pPr>
        <w:spacing w:beforeLines="50" w:before="156" w:afterLines="50" w:after="156" w:line="400" w:lineRule="exact"/>
        <w:jc w:val="center"/>
        <w:rPr>
          <w:rFonts w:ascii="Arial" w:eastAsia="华文细黑" w:hAnsi="Arial"/>
          <w:b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平安</w:t>
      </w:r>
      <w:r w:rsidR="00EE1C10" w:rsidRPr="00CA0689">
        <w:rPr>
          <w:rFonts w:ascii="Arial" w:eastAsia="华文细黑" w:hAnsi="Arial" w:hint="eastAsia"/>
          <w:b/>
          <w:bCs/>
          <w:iCs/>
          <w:color w:val="000000"/>
          <w:sz w:val="24"/>
          <w:szCs w:val="21"/>
        </w:rPr>
        <w:t>银行股份有限公司投资者关系活动记录表</w:t>
      </w:r>
    </w:p>
    <w:p w:rsidR="00EE1C10" w:rsidRPr="00CA0689" w:rsidRDefault="00EE1C10" w:rsidP="00EE1C10">
      <w:pPr>
        <w:spacing w:line="400" w:lineRule="exact"/>
        <w:rPr>
          <w:rFonts w:ascii="Arial" w:eastAsia="华文细黑" w:hAnsi="Arial"/>
          <w:bCs/>
          <w:iCs/>
          <w:color w:val="000000"/>
          <w:szCs w:val="21"/>
        </w:rPr>
      </w:pP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 xml:space="preserve">                                                         </w:t>
      </w:r>
      <w:r w:rsidRPr="00CA0689">
        <w:rPr>
          <w:rFonts w:ascii="Arial" w:eastAsia="华文细黑" w:hAnsi="Arial" w:hint="eastAsia"/>
          <w:bCs/>
          <w:iCs/>
          <w:color w:val="000000"/>
          <w:szCs w:val="21"/>
        </w:rPr>
        <w:t>编号：</w:t>
      </w:r>
    </w:p>
    <w:tbl>
      <w:tblPr>
        <w:tblStyle w:val="a3"/>
        <w:tblW w:w="8931" w:type="dxa"/>
        <w:tblInd w:w="-176" w:type="dxa"/>
        <w:tblLook w:val="01E0" w:firstRow="1" w:lastRow="1" w:firstColumn="1" w:lastColumn="1" w:noHBand="0" w:noVBand="0"/>
      </w:tblPr>
      <w:tblGrid>
        <w:gridCol w:w="2552"/>
        <w:gridCol w:w="6379"/>
      </w:tblGrid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投资者关系活动类别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C87159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sym w:font="Wingdings" w:char="F0FE"/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特定对象调研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</w:t>
            </w:r>
            <w:r w:rsidR="00EE1C1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分析师会议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媒体采访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  </w:t>
            </w:r>
            <w:r w:rsidR="00FF0263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业绩说明会</w:t>
            </w:r>
          </w:p>
          <w:p w:rsidR="00EE1C10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新闻发布会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         </w:t>
            </w:r>
            <w:r w:rsidR="00D87038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路演活动</w:t>
            </w:r>
          </w:p>
          <w:p w:rsidR="00EE1C10" w:rsidRPr="00CA0689" w:rsidRDefault="00EE1C10" w:rsidP="005B3BAE">
            <w:pPr>
              <w:tabs>
                <w:tab w:val="left" w:pos="3045"/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Pr="00CA0689">
              <w:rPr>
                <w:rFonts w:ascii="Arial" w:eastAsia="华文细黑" w:hAnsi="Arial" w:hint="eastAsia"/>
                <w:sz w:val="21"/>
                <w:szCs w:val="21"/>
              </w:rPr>
              <w:t>现场参观</w:t>
            </w:r>
          </w:p>
          <w:p w:rsidR="00EE1C10" w:rsidRPr="00CA0689" w:rsidRDefault="00C87159" w:rsidP="005B3BAE">
            <w:pPr>
              <w:tabs>
                <w:tab w:val="center" w:pos="3199"/>
              </w:tabs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□</w:t>
            </w:r>
            <w:r w:rsidR="00EE1C10" w:rsidRPr="00CA0689">
              <w:rPr>
                <w:rFonts w:ascii="Arial" w:eastAsia="华文细黑" w:hAnsi="Arial" w:hint="eastAsia"/>
                <w:sz w:val="21"/>
                <w:szCs w:val="21"/>
              </w:rPr>
              <w:t>其他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 xml:space="preserve"> </w:t>
            </w:r>
            <w:r w:rsidR="002515C0" w:rsidRPr="00CA0689">
              <w:rPr>
                <w:rFonts w:ascii="Arial" w:eastAsia="华文细黑" w:hAnsi="Arial" w:hint="eastAsia"/>
                <w:sz w:val="21"/>
                <w:szCs w:val="21"/>
              </w:rPr>
              <w:t>（投行会议）</w:t>
            </w:r>
          </w:p>
        </w:tc>
      </w:tr>
      <w:tr w:rsidR="00EE1C10" w:rsidRPr="00CA0689" w:rsidTr="005B3BAE">
        <w:trPr>
          <w:trHeight w:val="4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参与单位名称及人员姓名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77BC7" w:rsidP="00853994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中信证券</w:t>
            </w:r>
          </w:p>
        </w:tc>
      </w:tr>
      <w:tr w:rsidR="00EE1C10" w:rsidRPr="00CA0689" w:rsidTr="002721F3">
        <w:trPr>
          <w:trHeight w:val="41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时间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43629D" w:rsidP="00C87159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年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月</w:t>
            </w:r>
            <w:r w:rsid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24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</w:t>
            </w:r>
          </w:p>
        </w:tc>
      </w:tr>
      <w:tr w:rsidR="00EE1C10" w:rsidRPr="00CA0689" w:rsidTr="002721F3">
        <w:trPr>
          <w:trHeight w:val="35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地点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5B3BAE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深圳</w:t>
            </w:r>
          </w:p>
        </w:tc>
      </w:tr>
      <w:tr w:rsidR="00EE1C10" w:rsidRPr="00CA0689" w:rsidTr="002721F3">
        <w:trPr>
          <w:trHeight w:val="42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上市公司接待人员姓名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C87159" w:rsidP="00A115A1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周强董秘、</w:t>
            </w:r>
            <w:r w:rsidR="00A115A1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零售及</w:t>
            </w:r>
            <w:r w:rsidR="002515C0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董事会办公室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5B3BAE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投资者关系活动主要内容介绍</w:t>
            </w:r>
          </w:p>
          <w:p w:rsidR="00EE1C10" w:rsidRPr="00CA0689" w:rsidRDefault="00EE1C10" w:rsidP="005B3BAE">
            <w:pPr>
              <w:spacing w:line="480" w:lineRule="atLeast"/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144D" w:rsidRPr="00CA0689" w:rsidRDefault="00EE1C10" w:rsidP="005B3BAE">
            <w:pPr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介绍公司发展战略、经营业绩，回答投资者提问</w:t>
            </w:r>
          </w:p>
          <w:p w:rsidR="002721F3" w:rsidRDefault="002721F3" w:rsidP="005B3BAE">
            <w:pPr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A0689">
              <w:rPr>
                <w:rFonts w:ascii="Arial" w:eastAsia="华文细黑" w:hAnsi="Arial" w:hint="eastAsia"/>
                <w:sz w:val="21"/>
              </w:rPr>
              <w:t>平安银行</w:t>
            </w:r>
            <w:r w:rsidRPr="009E293D">
              <w:rPr>
                <w:rFonts w:ascii="Arial" w:eastAsia="华文细黑" w:hAnsi="Arial" w:hint="eastAsia"/>
                <w:sz w:val="21"/>
              </w:rPr>
              <w:t>的发展战略？</w:t>
            </w:r>
          </w:p>
          <w:p w:rsidR="00A115A1" w:rsidRDefault="00A115A1" w:rsidP="00A115A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将积极响应国家战略，顺应国际国内经济金融形势，进一步深化“科技引领、零售突破、对公做精”策略方针，进一步加强对民营企业、小微企业的支持力度，进一步提升服务实体经济的能力。具体来说：一是推进“行业银行”转型，提升服务实体经济能力；二是加强科技赋能，加大民营企业、小微企业支持力度；三是积极拥抱变化，寻找“生态圈”动能；四是严守合规底线，加强风险管控。</w:t>
            </w:r>
          </w:p>
          <w:p w:rsidR="00A115A1" w:rsidRDefault="00A115A1" w:rsidP="00A115A1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>
              <w:rPr>
                <w:rFonts w:ascii="Arial" w:eastAsia="华文细黑" w:hAnsi="Arial" w:hint="eastAsia"/>
                <w:sz w:val="21"/>
              </w:rPr>
              <w:t>存款情况及趋势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A115A1" w:rsidRDefault="00A115A1" w:rsidP="00A115A1">
            <w:pPr>
              <w:ind w:firstLineChars="250" w:firstLine="525"/>
              <w:rPr>
                <w:rFonts w:ascii="Arial" w:eastAsia="华文细黑" w:hAnsi="Arial" w:hint="eastAsia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年末，本行吸收存款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21,285.57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1,281.37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6.4%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，存款增长整体保持平稳。其中，个人存款余额为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4,615.91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亿元，较上年末增幅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35.4%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。个人活期、定期、理财存款均有不同幅度增长。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未来，本行将持续提供多元化的存款产品，提升活期存款占比，保持存款稳定增长。</w:t>
            </w:r>
          </w:p>
          <w:p w:rsidR="009E293D" w:rsidRPr="00CA0689" w:rsidRDefault="009E293D" w:rsidP="00A115A1">
            <w:pPr>
              <w:adjustRightInd w:val="0"/>
              <w:snapToGrid w:val="0"/>
              <w:spacing w:afterLines="20" w:after="62"/>
              <w:rPr>
                <w:rFonts w:ascii="Arial" w:eastAsia="华文细黑" w:hAnsi="Arial"/>
                <w:sz w:val="21"/>
                <w:szCs w:val="21"/>
              </w:rPr>
            </w:pPr>
          </w:p>
          <w:p w:rsidR="003F144D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非息收入</w:t>
            </w:r>
            <w:r w:rsidR="00A115A1">
              <w:rPr>
                <w:rFonts w:ascii="Arial" w:eastAsia="华文细黑" w:hAnsi="Arial" w:hint="eastAsia"/>
                <w:sz w:val="21"/>
              </w:rPr>
              <w:t>情况</w:t>
            </w:r>
            <w:r w:rsidRPr="00C87159">
              <w:rPr>
                <w:rFonts w:ascii="Arial" w:eastAsia="华文细黑" w:hAnsi="Arial" w:hint="eastAsia"/>
                <w:sz w:val="21"/>
              </w:rPr>
              <w:t>？</w:t>
            </w:r>
          </w:p>
          <w:p w:rsidR="004F6F03" w:rsidRDefault="00C87159" w:rsidP="00C8715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年，我行实现非息净收入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419.71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32.1%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，非息收入占营收比重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36%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，较上年末提升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个百分点，收入结构进一步优化，战略转型成效进一步显现</w:t>
            </w:r>
            <w:r w:rsidR="009E293D"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9E293D" w:rsidRPr="00CA0689" w:rsidRDefault="009E293D" w:rsidP="00A115A1">
            <w:pPr>
              <w:rPr>
                <w:rFonts w:ascii="Arial" w:eastAsia="华文细黑" w:hAnsi="Arial"/>
                <w:lang w:bidi="he-IL"/>
              </w:rPr>
            </w:pPr>
            <w:bookmarkStart w:id="0" w:name="_Toc464590920"/>
            <w:bookmarkStart w:id="1" w:name="_Toc464720594"/>
            <w:bookmarkStart w:id="2" w:name="_Toc464590889"/>
            <w:bookmarkStart w:id="3" w:name="_Toc464720557"/>
            <w:bookmarkStart w:id="4" w:name="_Toc448833286"/>
            <w:bookmarkStart w:id="5" w:name="_Toc458425958"/>
            <w:bookmarkStart w:id="6" w:name="_Toc464590895"/>
            <w:bookmarkStart w:id="7" w:name="_Toc464720571"/>
          </w:p>
          <w:p w:rsidR="00FD0E95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综合金融发展情况？</w:t>
            </w:r>
          </w:p>
          <w:p w:rsidR="00FD0E95" w:rsidRDefault="008439B9" w:rsidP="00C87159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本行坚持产渠双向突破。一方面，做强银行渠道，利用集团丰富产品提升客户黏性和价值贡献，通过“产品组合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场景融合”实现规模收益突破。另一方面，借力集团优势，通过“金融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科技”场景构建银行业务入口，紧扣“金融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+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生态”战略创新综金业务合作模式，充分调动集团内综合金融渠道的销售力量，有力提升银行主业。</w:t>
            </w:r>
            <w:bookmarkStart w:id="8" w:name="_Toc448833292"/>
          </w:p>
          <w:p w:rsidR="009E293D" w:rsidRDefault="009E293D" w:rsidP="005B3BAE">
            <w:pPr>
              <w:adjustRightInd w:val="0"/>
              <w:snapToGrid w:val="0"/>
              <w:rPr>
                <w:rFonts w:ascii="Arial" w:eastAsia="华文细黑" w:hAnsi="Arial" w:hint="eastAsia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信用卡业务发展情况？</w:t>
            </w:r>
          </w:p>
          <w:p w:rsidR="008439B9" w:rsidRDefault="008439B9" w:rsidP="008439B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年末，本行信用卡业务继续保持稳健增长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：</w:t>
            </w:r>
          </w:p>
          <w:p w:rsidR="008439B9" w:rsidRDefault="008439B9" w:rsidP="008439B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流通卡量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5,152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万张，较上年末增长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34.4%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8439B9" w:rsidRDefault="008439B9" w:rsidP="008439B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2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全年累计新增发卡量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1,737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万张，同比增长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15.1%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8439B9" w:rsidRDefault="008439B9" w:rsidP="008439B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3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总交易金额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27,248.07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76.1%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</w:t>
            </w:r>
          </w:p>
          <w:p w:rsidR="008439B9" w:rsidRDefault="008439B9" w:rsidP="008439B9">
            <w:pPr>
              <w:adjustRightInd w:val="0"/>
              <w:snapToGrid w:val="0"/>
              <w:spacing w:afterLines="20" w:after="62"/>
              <w:ind w:firstLineChars="200" w:firstLine="420"/>
              <w:rPr>
                <w:rFonts w:ascii="Arial" w:eastAsia="华文细黑" w:hAnsi="Arial" w:hint="eastAsia"/>
                <w:sz w:val="21"/>
                <w:szCs w:val="21"/>
              </w:rPr>
            </w:pPr>
            <w:r>
              <w:rPr>
                <w:rFonts w:ascii="Arial" w:eastAsia="华文细黑" w:hAnsi="Arial" w:hint="eastAsia"/>
                <w:sz w:val="21"/>
                <w:szCs w:val="21"/>
              </w:rPr>
              <w:t>（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4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）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贷款余额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4,732.95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亿元，较上年末增长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55.9%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A115A1" w:rsidRDefault="008439B9" w:rsidP="008439B9">
            <w:pPr>
              <w:adjustRightInd w:val="0"/>
              <w:snapToGrid w:val="0"/>
              <w:ind w:firstLineChars="250" w:firstLine="525"/>
              <w:rPr>
                <w:rFonts w:ascii="Arial" w:eastAsia="华文细黑" w:hAnsi="Arial" w:hint="eastAsia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年，信用卡丰富产品体系，扩大品牌营销力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；全新打造卡权分离平台，满足客户个性化、定制化、差异化的需求；大力布局互联网获客，加强线上线下融合，有效提升获客效率。</w:t>
            </w:r>
            <w:bookmarkStart w:id="9" w:name="_GoBack"/>
            <w:bookmarkEnd w:id="9"/>
          </w:p>
          <w:p w:rsidR="00A115A1" w:rsidRDefault="00A115A1" w:rsidP="00A115A1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C87159" w:rsidRPr="00E00681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C87159">
              <w:rPr>
                <w:rFonts w:ascii="Arial" w:eastAsia="华文细黑" w:hAnsi="Arial" w:hint="eastAsia"/>
                <w:sz w:val="21"/>
              </w:rPr>
              <w:t>集团客户迁徙情况？</w:t>
            </w:r>
          </w:p>
          <w:p w:rsidR="00C87159" w:rsidRPr="00DA02F5" w:rsidRDefault="00C87159" w:rsidP="00A115A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年，综拓渠道迁徙客户（不含信用卡）新增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295.87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万户，占零售整体新增客户（不含信用卡）的比例为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29.8%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，其中私财客户净增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5.42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万户，占整体净增私财客户的比例为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40.1%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；管理零售客户资产（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AUM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）余额净增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1,403.59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亿元，占零售整体净增客户资产余额的比例为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42.5%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；零售全渠道代销集团保险累计实现非利息净收入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24.63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亿元，同比增幅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32.6%</w:t>
            </w:r>
            <w:r w:rsidRPr="00DA02F5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C87159" w:rsidRPr="00C87159" w:rsidRDefault="00C87159" w:rsidP="005B3BAE">
            <w:pPr>
              <w:adjustRightInd w:val="0"/>
              <w:snapToGrid w:val="0"/>
              <w:rPr>
                <w:rFonts w:ascii="Arial" w:eastAsia="华文细黑" w:hAnsi="Arial"/>
                <w:sz w:val="21"/>
                <w:szCs w:val="21"/>
              </w:rPr>
            </w:pPr>
          </w:p>
          <w:p w:rsidR="00E00681" w:rsidRDefault="00A115A1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bookmarkStart w:id="10" w:name="_Toc496018961"/>
            <w:r>
              <w:rPr>
                <w:rFonts w:ascii="Arial" w:eastAsia="华文细黑" w:hAnsi="Arial" w:hint="eastAsia"/>
                <w:sz w:val="21"/>
              </w:rPr>
              <w:t>资产质量情况</w:t>
            </w:r>
            <w:r w:rsidR="009E293D"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E00681" w:rsidRPr="00E00681" w:rsidRDefault="009E293D" w:rsidP="00E0068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，本行积极应对外部宏观经济变化，持续优化信贷结构，严格管控增量业务风险，防范和化解存量贷款可能出现的各类风险，积极通过一系列措施，加大不良资产清收处置力度，加大拨备及核销力度，资产质量改善明显。</w:t>
            </w:r>
            <w:r w:rsidR="00A115A1">
              <w:rPr>
                <w:rFonts w:ascii="Arial" w:eastAsia="华文细黑" w:hAnsi="Arial" w:hint="eastAsia"/>
                <w:sz w:val="21"/>
                <w:szCs w:val="21"/>
              </w:rPr>
              <w:t>尤其是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偏离度降幅明显，由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2015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年初最高时的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278%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下降到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年末的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97%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bookmarkEnd w:id="0"/>
          <w:bookmarkEnd w:id="1"/>
          <w:bookmarkEnd w:id="8"/>
          <w:bookmarkEnd w:id="10"/>
          <w:p w:rsidR="00AA5A95" w:rsidRPr="00CA0689" w:rsidRDefault="00AA5A95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</w:p>
          <w:p w:rsidR="00C21A8C" w:rsidRPr="00CA0689" w:rsidRDefault="009E293D" w:rsidP="009E293D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拨备覆盖率</w:t>
            </w:r>
            <w:r w:rsidR="00A115A1">
              <w:rPr>
                <w:rFonts w:ascii="Arial" w:eastAsia="华文细黑" w:hAnsi="Arial" w:hint="eastAsia"/>
                <w:sz w:val="21"/>
              </w:rPr>
              <w:t>情况</w:t>
            </w:r>
            <w:r w:rsidRPr="009E293D">
              <w:rPr>
                <w:rFonts w:ascii="Arial" w:eastAsia="华文细黑" w:hAnsi="Arial" w:hint="eastAsia"/>
                <w:sz w:val="21"/>
              </w:rPr>
              <w:t>？</w:t>
            </w:r>
          </w:p>
          <w:p w:rsidR="00C21A8C" w:rsidRPr="00CA0689" w:rsidRDefault="00A115A1" w:rsidP="009E293D">
            <w:pPr>
              <w:adjustRightInd w:val="0"/>
              <w:snapToGrid w:val="0"/>
              <w:ind w:firstLineChars="200" w:firstLine="420"/>
              <w:rPr>
                <w:rStyle w:val="a8"/>
                <w:rFonts w:ascii="Arial" w:eastAsia="华文细黑" w:hAnsi="Arial" w:cs="Arial"/>
                <w:sz w:val="21"/>
                <w:szCs w:val="21"/>
                <w:lang w:eastAsia="zh-CN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年末，本行拨备覆盖率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155.24%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4.16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个百分点，较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年末略降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0.13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个百分点；拨贷比为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2.71%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，较上年末上升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0.14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个百分点，与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年末持平；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未来将通过各种措施不断提升拨备增强风险抵御能力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。</w:t>
            </w:r>
          </w:p>
          <w:p w:rsidR="00E00681" w:rsidRDefault="00E00681" w:rsidP="005B3BAE">
            <w:pPr>
              <w:adjustRightInd w:val="0"/>
              <w:snapToGrid w:val="0"/>
              <w:spacing w:afterLines="20" w:after="62"/>
              <w:rPr>
                <w:rStyle w:val="a8"/>
                <w:rFonts w:ascii="Arial" w:eastAsia="华文细黑" w:hAnsi="Arial" w:cs="Arial"/>
                <w:sz w:val="21"/>
                <w:szCs w:val="21"/>
                <w:lang w:val="en-US" w:eastAsia="zh-CN"/>
              </w:rPr>
            </w:pPr>
          </w:p>
          <w:p w:rsidR="00C87159" w:rsidRPr="00CA0689" w:rsidRDefault="00C87159" w:rsidP="00C87159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lastRenderedPageBreak/>
              <w:t>理财子公司进展？</w:t>
            </w:r>
          </w:p>
          <w:p w:rsidR="00C87159" w:rsidRPr="00A115A1" w:rsidRDefault="00A115A1" w:rsidP="00A115A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6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日，本行</w:t>
            </w:r>
            <w:r>
              <w:rPr>
                <w:rFonts w:ascii="Arial" w:eastAsia="华文细黑" w:hAnsi="Arial" w:hint="eastAsia"/>
                <w:sz w:val="21"/>
                <w:szCs w:val="21"/>
              </w:rPr>
              <w:t>董事会已提交通了《关于设立资产管理子公司的议案》，目前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尚需监管机构的批准。</w:t>
            </w:r>
          </w:p>
          <w:bookmarkEnd w:id="2"/>
          <w:bookmarkEnd w:id="3"/>
          <w:bookmarkEnd w:id="4"/>
          <w:bookmarkEnd w:id="5"/>
          <w:bookmarkEnd w:id="6"/>
          <w:bookmarkEnd w:id="7"/>
          <w:p w:rsidR="008B3EDE" w:rsidRDefault="008B3EDE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sz w:val="21"/>
              </w:rPr>
            </w:pPr>
            <w:r w:rsidRPr="009E293D">
              <w:rPr>
                <w:rFonts w:ascii="Arial" w:eastAsia="华文细黑" w:hAnsi="Arial" w:hint="eastAsia"/>
                <w:sz w:val="21"/>
              </w:rPr>
              <w:t>投行业务</w:t>
            </w:r>
            <w:r>
              <w:rPr>
                <w:rFonts w:ascii="Arial" w:eastAsia="华文细黑" w:hAnsi="Arial" w:hint="eastAsia"/>
                <w:sz w:val="21"/>
              </w:rPr>
              <w:t>未来</w:t>
            </w:r>
            <w:r w:rsidRPr="009E293D">
              <w:rPr>
                <w:rFonts w:ascii="Arial" w:eastAsia="华文细黑" w:hAnsi="Arial" w:hint="eastAsia"/>
                <w:sz w:val="21"/>
              </w:rPr>
              <w:t>发展情况？</w:t>
            </w:r>
          </w:p>
          <w:p w:rsidR="00A115A1" w:rsidRDefault="00A115A1" w:rsidP="00A115A1">
            <w:pPr>
              <w:adjustRightInd w:val="0"/>
              <w:snapToGrid w:val="0"/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本行积极打造精品投行及同业业务，一是全面落实轻型化融资战略，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年银行间债券承销业务累计发行规模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1,619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亿元，同比增长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54.0%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；二是重塑同业定位，通过打通资管、交易和销售，提升同业机构客户渠道价值，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年末“行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e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通”平台累计合作客户达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2,079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户，较上年末新增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150</w:t>
            </w:r>
            <w:r w:rsidRPr="009E293D">
              <w:rPr>
                <w:rFonts w:ascii="Arial" w:eastAsia="华文细黑" w:hAnsi="Arial" w:hint="eastAsia"/>
                <w:sz w:val="21"/>
                <w:szCs w:val="21"/>
              </w:rPr>
              <w:t>户。</w:t>
            </w: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A115A1" w:rsidRPr="00CA0689" w:rsidRDefault="00A115A1" w:rsidP="00A115A1">
            <w:pPr>
              <w:pStyle w:val="3"/>
              <w:outlineLvl w:val="2"/>
              <w:rPr>
                <w:rFonts w:ascii="Arial" w:eastAsia="华文细黑" w:hAnsi="Arial"/>
                <w:lang w:eastAsia="zh-TW"/>
              </w:rPr>
            </w:pPr>
            <w:r>
              <w:rPr>
                <w:rFonts w:ascii="Arial" w:eastAsia="华文细黑" w:hAnsi="Arial" w:hint="eastAsia"/>
              </w:rPr>
              <w:t>贵行</w:t>
            </w:r>
            <w:r w:rsidRPr="00C87159">
              <w:rPr>
                <w:rFonts w:ascii="Arial" w:eastAsia="华文细黑" w:hAnsi="Arial" w:hint="eastAsia"/>
                <w:lang w:eastAsia="zh-TW"/>
              </w:rPr>
              <w:t>发行可转债后，资本充足率情况？</w:t>
            </w:r>
          </w:p>
          <w:p w:rsidR="00A115A1" w:rsidRDefault="00A115A1" w:rsidP="00A115A1">
            <w:pPr>
              <w:ind w:firstLineChars="200" w:firstLine="420"/>
              <w:rPr>
                <w:rFonts w:ascii="Arial" w:eastAsia="华文细黑" w:hAnsi="Arial"/>
                <w:sz w:val="21"/>
                <w:szCs w:val="21"/>
              </w:rPr>
            </w:pP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2018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年末，本行核心一级资本充足率、一级资本充足率及资本充足率分别为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8.54%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9.39%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11.50%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，均满足监管达标要求，较上年末分别提高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0.26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、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0.21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及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0.30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个百分点。本行已于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1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月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25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日完成了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260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A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股可转换公司债券的发行，其中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37</w:t>
            </w:r>
            <w:r w:rsidRPr="00C87159">
              <w:rPr>
                <w:rFonts w:ascii="Arial" w:eastAsia="华文细黑" w:hAnsi="Arial" w:hint="eastAsia"/>
                <w:sz w:val="21"/>
                <w:szCs w:val="21"/>
              </w:rPr>
              <w:t>亿元权益部分直接计入核心一级资本，其余部分将于转股后陆续补充本行核心一级资本，进一步提高资本充足水平。</w:t>
            </w: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A115A1" w:rsidRPr="00A115A1" w:rsidRDefault="00A115A1" w:rsidP="005B3BAE">
            <w:pPr>
              <w:snapToGrid w:val="0"/>
              <w:spacing w:afterLines="20" w:after="62"/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</w:pPr>
          </w:p>
          <w:p w:rsidR="00CC12EA" w:rsidRPr="00CA0689" w:rsidRDefault="00A140B8" w:rsidP="00E00681">
            <w:pPr>
              <w:snapToGrid w:val="0"/>
              <w:spacing w:afterLines="20" w:after="62"/>
              <w:ind w:firstLineChars="200" w:firstLine="420"/>
              <w:rPr>
                <w:rFonts w:ascii="Arial" w:eastAsia="华文细黑" w:hAnsi="Arial"/>
                <w:sz w:val="21"/>
                <w:szCs w:val="21"/>
                <w:lang w:val="zh-TW"/>
              </w:rPr>
            </w:pPr>
            <w:r w:rsidRPr="00CA0689">
              <w:rPr>
                <w:rStyle w:val="a8"/>
                <w:rFonts w:ascii="Arial" w:eastAsia="华文细黑" w:hAnsi="Arial" w:hint="eastAsia"/>
                <w:sz w:val="21"/>
                <w:szCs w:val="21"/>
              </w:rPr>
              <w:t>接待过程中，公司接待人员与投资者进行了充分的交流与沟通，严格按照有关制度规定，没有出现未公开重大信息泄露等情况。</w:t>
            </w:r>
          </w:p>
        </w:tc>
      </w:tr>
      <w:tr w:rsidR="00EE1C10" w:rsidRPr="00CA0689" w:rsidTr="005B3BAE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lastRenderedPageBreak/>
              <w:t>附件清单（如有）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6B0B04" w:rsidP="00C21A8C">
            <w:pPr>
              <w:jc w:val="left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201</w:t>
            </w:r>
            <w:r w:rsidR="00FD0E95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8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年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三季</w:t>
            </w:r>
            <w:r w:rsidR="00C21A8C"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报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业绩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PPT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（请参见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bank.pingan.com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投资者关系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-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Cs w:val="21"/>
              </w:rPr>
              <w:t>公司推介栏目）</w:t>
            </w:r>
          </w:p>
        </w:tc>
      </w:tr>
      <w:tr w:rsidR="00EE1C10" w:rsidRPr="00CA0689" w:rsidTr="00C21A8C">
        <w:trPr>
          <w:trHeight w:val="3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EE1C10" w:rsidP="00C21A8C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日期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1C10" w:rsidRPr="00CA0689" w:rsidRDefault="00761259" w:rsidP="00C87159">
            <w:pPr>
              <w:jc w:val="center"/>
              <w:rPr>
                <w:rFonts w:ascii="Arial" w:eastAsia="华文细黑" w:hAnsi="Arial"/>
                <w:bCs/>
                <w:iCs/>
                <w:color w:val="000000"/>
                <w:sz w:val="21"/>
                <w:szCs w:val="21"/>
              </w:rPr>
            </w:pP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201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9</w:t>
            </w:r>
            <w:r w:rsidR="003F144D"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9E293D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1</w:t>
            </w:r>
            <w:r w:rsidRPr="00CA068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.</w:t>
            </w:r>
            <w:r w:rsidR="00C87159">
              <w:rPr>
                <w:rFonts w:ascii="Arial" w:eastAsia="华文细黑" w:hAnsi="Arial" w:hint="eastAsia"/>
                <w:bCs/>
                <w:iCs/>
                <w:color w:val="000000"/>
                <w:sz w:val="21"/>
                <w:szCs w:val="21"/>
              </w:rPr>
              <w:t>24</w:t>
            </w:r>
          </w:p>
        </w:tc>
      </w:tr>
    </w:tbl>
    <w:p w:rsidR="00941F1C" w:rsidRPr="00CA0689" w:rsidRDefault="00941F1C" w:rsidP="00862CF2">
      <w:pPr>
        <w:rPr>
          <w:rFonts w:ascii="Arial" w:eastAsia="华文细黑" w:hAnsi="Arial"/>
          <w:szCs w:val="21"/>
        </w:rPr>
      </w:pPr>
    </w:p>
    <w:sectPr w:rsidR="00941F1C" w:rsidRPr="00CA0689" w:rsidSect="0049405C"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0C4A" w:rsidRDefault="00E50C4A" w:rsidP="00D96584">
      <w:r>
        <w:separator/>
      </w:r>
    </w:p>
  </w:endnote>
  <w:endnote w:type="continuationSeparator" w:id="0">
    <w:p w:rsidR="00E50C4A" w:rsidRDefault="00E50C4A" w:rsidP="00D965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0030101010101"/>
    <w:charset w:val="86"/>
    <w:family w:val="auto"/>
    <w:pitch w:val="variable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准圆_GBK_平安专用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0C4A" w:rsidRDefault="00E50C4A" w:rsidP="00D96584">
      <w:r>
        <w:separator/>
      </w:r>
    </w:p>
  </w:footnote>
  <w:footnote w:type="continuationSeparator" w:id="0">
    <w:p w:rsidR="00E50C4A" w:rsidRDefault="00E50C4A" w:rsidP="00D965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40C2"/>
    <w:multiLevelType w:val="hybridMultilevel"/>
    <w:tmpl w:val="0E64737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59F5992"/>
    <w:multiLevelType w:val="hybridMultilevel"/>
    <w:tmpl w:val="FFD8AA9E"/>
    <w:lvl w:ilvl="0" w:tplc="B818F4A2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8A80BC4E">
      <w:start w:val="1"/>
      <w:numFmt w:val="bullet"/>
      <w:lvlText w:val=""/>
      <w:lvlJc w:val="left"/>
      <w:pPr>
        <w:tabs>
          <w:tab w:val="num" w:pos="420"/>
        </w:tabs>
        <w:ind w:left="420" w:firstLine="0"/>
      </w:pPr>
      <w:rPr>
        <w:rFonts w:ascii="Wingdings" w:hAnsi="Wingdings" w:hint="default"/>
      </w:rPr>
    </w:lvl>
    <w:lvl w:ilvl="2" w:tplc="B57CE62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456828AA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4BF6794A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856279E6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E126EB94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2F2626EA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41747532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77D07EC"/>
    <w:multiLevelType w:val="multilevel"/>
    <w:tmpl w:val="429844D0"/>
    <w:lvl w:ilvl="0">
      <w:start w:val="1"/>
      <w:numFmt w:val="decimal"/>
      <w:pStyle w:val="FAQ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>
    <w:nsid w:val="0C304D8B"/>
    <w:multiLevelType w:val="multilevel"/>
    <w:tmpl w:val="E29C0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757A4"/>
    <w:multiLevelType w:val="hybridMultilevel"/>
    <w:tmpl w:val="1BB09DFC"/>
    <w:lvl w:ilvl="0" w:tplc="A3E4D8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0FA14E31"/>
    <w:multiLevelType w:val="hybridMultilevel"/>
    <w:tmpl w:val="B672E7CC"/>
    <w:lvl w:ilvl="0" w:tplc="181EB6B6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E28CD87E" w:tentative="1">
      <w:start w:val="1"/>
      <w:numFmt w:val="lowerLetter"/>
      <w:lvlText w:val="%2)"/>
      <w:lvlJc w:val="left"/>
      <w:pPr>
        <w:ind w:left="840" w:hanging="420"/>
      </w:pPr>
    </w:lvl>
    <w:lvl w:ilvl="2" w:tplc="D604EFA6" w:tentative="1">
      <w:start w:val="1"/>
      <w:numFmt w:val="lowerRoman"/>
      <w:lvlText w:val="%3."/>
      <w:lvlJc w:val="right"/>
      <w:pPr>
        <w:ind w:left="1260" w:hanging="420"/>
      </w:pPr>
    </w:lvl>
    <w:lvl w:ilvl="3" w:tplc="7CBCA43A" w:tentative="1">
      <w:start w:val="1"/>
      <w:numFmt w:val="decimal"/>
      <w:lvlText w:val="%4."/>
      <w:lvlJc w:val="left"/>
      <w:pPr>
        <w:ind w:left="1680" w:hanging="420"/>
      </w:pPr>
    </w:lvl>
    <w:lvl w:ilvl="4" w:tplc="CE36A14E" w:tentative="1">
      <w:start w:val="1"/>
      <w:numFmt w:val="lowerLetter"/>
      <w:lvlText w:val="%5)"/>
      <w:lvlJc w:val="left"/>
      <w:pPr>
        <w:ind w:left="2100" w:hanging="420"/>
      </w:pPr>
    </w:lvl>
    <w:lvl w:ilvl="5" w:tplc="A1748F72" w:tentative="1">
      <w:start w:val="1"/>
      <w:numFmt w:val="lowerRoman"/>
      <w:lvlText w:val="%6."/>
      <w:lvlJc w:val="right"/>
      <w:pPr>
        <w:ind w:left="2520" w:hanging="420"/>
      </w:pPr>
    </w:lvl>
    <w:lvl w:ilvl="6" w:tplc="A1523FBE" w:tentative="1">
      <w:start w:val="1"/>
      <w:numFmt w:val="decimal"/>
      <w:lvlText w:val="%7."/>
      <w:lvlJc w:val="left"/>
      <w:pPr>
        <w:ind w:left="2940" w:hanging="420"/>
      </w:pPr>
    </w:lvl>
    <w:lvl w:ilvl="7" w:tplc="BDF04C12" w:tentative="1">
      <w:start w:val="1"/>
      <w:numFmt w:val="lowerLetter"/>
      <w:lvlText w:val="%8)"/>
      <w:lvlJc w:val="left"/>
      <w:pPr>
        <w:ind w:left="3360" w:hanging="420"/>
      </w:pPr>
    </w:lvl>
    <w:lvl w:ilvl="8" w:tplc="A7AA920E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2531BD9"/>
    <w:multiLevelType w:val="hybridMultilevel"/>
    <w:tmpl w:val="C186B90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137D63B9"/>
    <w:multiLevelType w:val="hybridMultilevel"/>
    <w:tmpl w:val="E3E0A0EE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>
    <w:nsid w:val="1B427BE6"/>
    <w:multiLevelType w:val="multilevel"/>
    <w:tmpl w:val="EBBC1982"/>
    <w:styleLink w:val="List1"/>
    <w:lvl w:ilvl="0">
      <w:start w:val="15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9">
    <w:nsid w:val="1E3055A1"/>
    <w:multiLevelType w:val="hybridMultilevel"/>
    <w:tmpl w:val="9314D88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28AC1786"/>
    <w:multiLevelType w:val="hybridMultilevel"/>
    <w:tmpl w:val="29CCDE1C"/>
    <w:lvl w:ilvl="0" w:tplc="015C8DD2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1">
    <w:nsid w:val="2A8031BB"/>
    <w:multiLevelType w:val="hybridMultilevel"/>
    <w:tmpl w:val="2E04D35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2EBF1A32"/>
    <w:multiLevelType w:val="hybridMultilevel"/>
    <w:tmpl w:val="8D9E8B94"/>
    <w:lvl w:ilvl="0" w:tplc="62143354">
      <w:start w:val="1"/>
      <w:numFmt w:val="lowerLetter"/>
      <w:lvlText w:val="%1)"/>
      <w:lvlJc w:val="left"/>
      <w:pPr>
        <w:ind w:left="1260" w:hanging="54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3">
    <w:nsid w:val="35D16322"/>
    <w:multiLevelType w:val="hybridMultilevel"/>
    <w:tmpl w:val="FBCEA6A2"/>
    <w:lvl w:ilvl="0" w:tplc="419EDC28">
      <w:start w:val="1"/>
      <w:numFmt w:val="decimal"/>
      <w:pStyle w:val="3"/>
      <w:lvlText w:val="%1."/>
      <w:lvlJc w:val="left"/>
      <w:pPr>
        <w:ind w:left="42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D38B6A0">
      <w:start w:val="1"/>
      <w:numFmt w:val="lowerLetter"/>
      <w:lvlText w:val="%2)"/>
      <w:lvlJc w:val="left"/>
      <w:pPr>
        <w:ind w:left="8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974B7E0">
      <w:start w:val="1"/>
      <w:numFmt w:val="lowerRoman"/>
      <w:lvlText w:val="%3."/>
      <w:lvlJc w:val="left"/>
      <w:pPr>
        <w:ind w:left="126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33C79BA">
      <w:start w:val="1"/>
      <w:numFmt w:val="decimal"/>
      <w:lvlText w:val="%4."/>
      <w:lvlJc w:val="left"/>
      <w:pPr>
        <w:ind w:left="168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EC622E">
      <w:start w:val="1"/>
      <w:numFmt w:val="lowerLetter"/>
      <w:lvlText w:val="%5)"/>
      <w:lvlJc w:val="left"/>
      <w:pPr>
        <w:ind w:left="210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2B0F912">
      <w:start w:val="1"/>
      <w:numFmt w:val="lowerRoman"/>
      <w:lvlText w:val="%6."/>
      <w:lvlJc w:val="left"/>
      <w:pPr>
        <w:ind w:left="252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AE383F64">
      <w:start w:val="1"/>
      <w:numFmt w:val="decimal"/>
      <w:lvlText w:val="%7."/>
      <w:lvlJc w:val="left"/>
      <w:pPr>
        <w:ind w:left="294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E6E407C">
      <w:start w:val="1"/>
      <w:numFmt w:val="lowerLetter"/>
      <w:lvlText w:val="%8)"/>
      <w:lvlJc w:val="left"/>
      <w:pPr>
        <w:ind w:left="3360" w:hanging="4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CCD3BE">
      <w:start w:val="1"/>
      <w:numFmt w:val="lowerRoman"/>
      <w:lvlText w:val="%9."/>
      <w:lvlJc w:val="left"/>
      <w:pPr>
        <w:ind w:left="3780" w:hanging="53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4">
    <w:nsid w:val="38C92885"/>
    <w:multiLevelType w:val="hybridMultilevel"/>
    <w:tmpl w:val="3BC8BAD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3FD51C9B"/>
    <w:multiLevelType w:val="hybridMultilevel"/>
    <w:tmpl w:val="1AD83A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418D7EF7"/>
    <w:multiLevelType w:val="hybridMultilevel"/>
    <w:tmpl w:val="C87CB43A"/>
    <w:lvl w:ilvl="0" w:tplc="E4F647EE">
      <w:start w:val="1"/>
      <w:numFmt w:val="decimal"/>
      <w:lvlText w:val="%1."/>
      <w:lvlJc w:val="left"/>
      <w:pPr>
        <w:ind w:left="360" w:hanging="36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7">
    <w:nsid w:val="42E624B2"/>
    <w:multiLevelType w:val="hybridMultilevel"/>
    <w:tmpl w:val="C51C5F94"/>
    <w:lvl w:ilvl="0" w:tplc="14B84E06">
      <w:start w:val="3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55C23F02"/>
    <w:multiLevelType w:val="hybridMultilevel"/>
    <w:tmpl w:val="64C8DC7A"/>
    <w:lvl w:ilvl="0" w:tplc="761231E8">
      <w:start w:val="1"/>
      <w:numFmt w:val="decimal"/>
      <w:pStyle w:val="30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926D4D4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41B880F2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51E2A55C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5E8E062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9964108A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E2C431D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CAA6D18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91B40E14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9">
    <w:nsid w:val="5B7F6B72"/>
    <w:multiLevelType w:val="hybridMultilevel"/>
    <w:tmpl w:val="2524439C"/>
    <w:lvl w:ilvl="0" w:tplc="24D0BD9C">
      <w:start w:val="1"/>
      <w:numFmt w:val="decimal"/>
      <w:lvlText w:val="%1、"/>
      <w:lvlJc w:val="left"/>
      <w:pPr>
        <w:tabs>
          <w:tab w:val="num" w:pos="420"/>
        </w:tabs>
        <w:ind w:left="420" w:hanging="420"/>
      </w:pPr>
      <w:rPr>
        <w:rFonts w:hint="eastAsia"/>
        <w:b w:val="0"/>
      </w:rPr>
    </w:lvl>
    <w:lvl w:ilvl="1" w:tplc="48A8C7F8">
      <w:start w:val="1"/>
      <w:numFmt w:val="decimal"/>
      <w:lvlText w:val="%2、"/>
      <w:lvlJc w:val="left"/>
      <w:pPr>
        <w:tabs>
          <w:tab w:val="num" w:pos="354"/>
        </w:tabs>
        <w:ind w:left="354" w:hanging="360"/>
      </w:pPr>
      <w:rPr>
        <w:rFonts w:hint="eastAsia"/>
      </w:rPr>
    </w:lvl>
    <w:lvl w:ilvl="2" w:tplc="036C89F6" w:tentative="1">
      <w:start w:val="1"/>
      <w:numFmt w:val="lowerRoman"/>
      <w:lvlText w:val="%3."/>
      <w:lvlJc w:val="right"/>
      <w:pPr>
        <w:tabs>
          <w:tab w:val="num" w:pos="834"/>
        </w:tabs>
        <w:ind w:left="834" w:hanging="420"/>
      </w:pPr>
    </w:lvl>
    <w:lvl w:ilvl="3" w:tplc="09A8F47E" w:tentative="1">
      <w:start w:val="1"/>
      <w:numFmt w:val="decimal"/>
      <w:lvlText w:val="%4."/>
      <w:lvlJc w:val="left"/>
      <w:pPr>
        <w:tabs>
          <w:tab w:val="num" w:pos="1254"/>
        </w:tabs>
        <w:ind w:left="1254" w:hanging="420"/>
      </w:pPr>
    </w:lvl>
    <w:lvl w:ilvl="4" w:tplc="4B36B3DA" w:tentative="1">
      <w:start w:val="1"/>
      <w:numFmt w:val="lowerLetter"/>
      <w:lvlText w:val="%5)"/>
      <w:lvlJc w:val="left"/>
      <w:pPr>
        <w:tabs>
          <w:tab w:val="num" w:pos="1674"/>
        </w:tabs>
        <w:ind w:left="1674" w:hanging="420"/>
      </w:pPr>
    </w:lvl>
    <w:lvl w:ilvl="5" w:tplc="5D0E630A" w:tentative="1">
      <w:start w:val="1"/>
      <w:numFmt w:val="lowerRoman"/>
      <w:lvlText w:val="%6."/>
      <w:lvlJc w:val="right"/>
      <w:pPr>
        <w:tabs>
          <w:tab w:val="num" w:pos="2094"/>
        </w:tabs>
        <w:ind w:left="2094" w:hanging="420"/>
      </w:pPr>
    </w:lvl>
    <w:lvl w:ilvl="6" w:tplc="FD96FC00" w:tentative="1">
      <w:start w:val="1"/>
      <w:numFmt w:val="decimal"/>
      <w:lvlText w:val="%7."/>
      <w:lvlJc w:val="left"/>
      <w:pPr>
        <w:tabs>
          <w:tab w:val="num" w:pos="2514"/>
        </w:tabs>
        <w:ind w:left="2514" w:hanging="420"/>
      </w:pPr>
    </w:lvl>
    <w:lvl w:ilvl="7" w:tplc="57967AA6" w:tentative="1">
      <w:start w:val="1"/>
      <w:numFmt w:val="lowerLetter"/>
      <w:lvlText w:val="%8)"/>
      <w:lvlJc w:val="left"/>
      <w:pPr>
        <w:tabs>
          <w:tab w:val="num" w:pos="2934"/>
        </w:tabs>
        <w:ind w:left="2934" w:hanging="420"/>
      </w:pPr>
    </w:lvl>
    <w:lvl w:ilvl="8" w:tplc="AA646454" w:tentative="1">
      <w:start w:val="1"/>
      <w:numFmt w:val="lowerRoman"/>
      <w:lvlText w:val="%9."/>
      <w:lvlJc w:val="right"/>
      <w:pPr>
        <w:tabs>
          <w:tab w:val="num" w:pos="3354"/>
        </w:tabs>
        <w:ind w:left="3354" w:hanging="420"/>
      </w:pPr>
    </w:lvl>
  </w:abstractNum>
  <w:abstractNum w:abstractNumId="20">
    <w:nsid w:val="5F7717ED"/>
    <w:multiLevelType w:val="hybridMultilevel"/>
    <w:tmpl w:val="09209028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>
    <w:nsid w:val="602A7B66"/>
    <w:multiLevelType w:val="multilevel"/>
    <w:tmpl w:val="97AAD274"/>
    <w:lvl w:ilvl="0">
      <w:start w:val="2"/>
      <w:numFmt w:val="decimal"/>
      <w:lvlText w:val="%1."/>
      <w:lvlJc w:val="left"/>
      <w:rPr>
        <w:position w:val="0"/>
      </w:rPr>
    </w:lvl>
    <w:lvl w:ilvl="1">
      <w:start w:val="1"/>
      <w:numFmt w:val="lowerLetter"/>
      <w:lvlText w:val="%2)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)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)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2">
    <w:nsid w:val="666C0CB7"/>
    <w:multiLevelType w:val="hybridMultilevel"/>
    <w:tmpl w:val="86B2FF9C"/>
    <w:lvl w:ilvl="0" w:tplc="BF780C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>
    <w:nsid w:val="670A3D84"/>
    <w:multiLevelType w:val="hybridMultilevel"/>
    <w:tmpl w:val="795AD96C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4">
    <w:nsid w:val="74750563"/>
    <w:multiLevelType w:val="hybridMultilevel"/>
    <w:tmpl w:val="98742676"/>
    <w:lvl w:ilvl="0" w:tplc="04090001">
      <w:start w:val="1"/>
      <w:numFmt w:val="bullet"/>
      <w:lvlText w:val=""/>
      <w:lvlJc w:val="left"/>
      <w:pPr>
        <w:ind w:left="818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78" w:hanging="420"/>
      </w:pPr>
      <w:rPr>
        <w:rFonts w:ascii="Wingdings" w:hAnsi="Wingdings" w:hint="default"/>
      </w:rPr>
    </w:lvl>
  </w:abstractNum>
  <w:abstractNum w:abstractNumId="25">
    <w:nsid w:val="75144018"/>
    <w:multiLevelType w:val="hybridMultilevel"/>
    <w:tmpl w:val="23AE4E20"/>
    <w:lvl w:ilvl="0" w:tplc="D37AAD48">
      <w:start w:val="1"/>
      <w:numFmt w:val="bullet"/>
      <w:lvlText w:val=""/>
      <w:lvlJc w:val="left"/>
      <w:pPr>
        <w:ind w:left="86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8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4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0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26">
    <w:nsid w:val="7530778C"/>
    <w:multiLevelType w:val="hybridMultilevel"/>
    <w:tmpl w:val="149C09E0"/>
    <w:lvl w:ilvl="0" w:tplc="04090001">
      <w:start w:val="1"/>
      <w:numFmt w:val="bullet"/>
      <w:lvlText w:val=""/>
      <w:lvlJc w:val="left"/>
      <w:pPr>
        <w:ind w:left="734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54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7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4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3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4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74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94" w:hanging="420"/>
      </w:pPr>
      <w:rPr>
        <w:rFonts w:ascii="Wingdings" w:hAnsi="Wingdings" w:hint="default"/>
      </w:rPr>
    </w:lvl>
  </w:abstractNum>
  <w:abstractNum w:abstractNumId="27">
    <w:nsid w:val="7D2420E2"/>
    <w:multiLevelType w:val="hybridMultilevel"/>
    <w:tmpl w:val="3E709AA6"/>
    <w:lvl w:ilvl="0" w:tplc="1CE0452C">
      <w:start w:val="1"/>
      <w:numFmt w:val="decimal"/>
      <w:lvlText w:val="%1，"/>
      <w:lvlJc w:val="left"/>
      <w:pPr>
        <w:ind w:left="720" w:hanging="720"/>
      </w:pPr>
      <w:rPr>
        <w:rFonts w:cs="Arial Unicode MS" w:hint="default"/>
      </w:rPr>
    </w:lvl>
    <w:lvl w:ilvl="1" w:tplc="9DBE0DC6" w:tentative="1">
      <w:start w:val="1"/>
      <w:numFmt w:val="lowerLetter"/>
      <w:lvlText w:val="%2)"/>
      <w:lvlJc w:val="left"/>
      <w:pPr>
        <w:ind w:left="840" w:hanging="420"/>
      </w:pPr>
    </w:lvl>
    <w:lvl w:ilvl="2" w:tplc="DEA4CFF8" w:tentative="1">
      <w:start w:val="1"/>
      <w:numFmt w:val="lowerRoman"/>
      <w:lvlText w:val="%3."/>
      <w:lvlJc w:val="right"/>
      <w:pPr>
        <w:ind w:left="1260" w:hanging="420"/>
      </w:pPr>
    </w:lvl>
    <w:lvl w:ilvl="3" w:tplc="0ABC538C" w:tentative="1">
      <w:start w:val="1"/>
      <w:numFmt w:val="decimal"/>
      <w:lvlText w:val="%4."/>
      <w:lvlJc w:val="left"/>
      <w:pPr>
        <w:ind w:left="1680" w:hanging="420"/>
      </w:pPr>
    </w:lvl>
    <w:lvl w:ilvl="4" w:tplc="9B50DB78" w:tentative="1">
      <w:start w:val="1"/>
      <w:numFmt w:val="lowerLetter"/>
      <w:lvlText w:val="%5)"/>
      <w:lvlJc w:val="left"/>
      <w:pPr>
        <w:ind w:left="2100" w:hanging="420"/>
      </w:pPr>
    </w:lvl>
    <w:lvl w:ilvl="5" w:tplc="111CD4AA" w:tentative="1">
      <w:start w:val="1"/>
      <w:numFmt w:val="lowerRoman"/>
      <w:lvlText w:val="%6."/>
      <w:lvlJc w:val="right"/>
      <w:pPr>
        <w:ind w:left="2520" w:hanging="420"/>
      </w:pPr>
    </w:lvl>
    <w:lvl w:ilvl="6" w:tplc="2842DD04" w:tentative="1">
      <w:start w:val="1"/>
      <w:numFmt w:val="decimal"/>
      <w:lvlText w:val="%7."/>
      <w:lvlJc w:val="left"/>
      <w:pPr>
        <w:ind w:left="2940" w:hanging="420"/>
      </w:pPr>
    </w:lvl>
    <w:lvl w:ilvl="7" w:tplc="A33CAAEA" w:tentative="1">
      <w:start w:val="1"/>
      <w:numFmt w:val="lowerLetter"/>
      <w:lvlText w:val="%8)"/>
      <w:lvlJc w:val="left"/>
      <w:pPr>
        <w:ind w:left="3360" w:hanging="420"/>
      </w:pPr>
    </w:lvl>
    <w:lvl w:ilvl="8" w:tplc="4E860058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8"/>
  </w:num>
  <w:num w:numId="5">
    <w:abstractNumId w:val="9"/>
  </w:num>
  <w:num w:numId="6">
    <w:abstractNumId w:val="2"/>
  </w:num>
  <w:num w:numId="7">
    <w:abstractNumId w:val="6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</w:num>
  <w:num w:numId="11">
    <w:abstractNumId w:val="23"/>
  </w:num>
  <w:num w:numId="12">
    <w:abstractNumId w:val="21"/>
  </w:num>
  <w:num w:numId="13">
    <w:abstractNumId w:val="8"/>
  </w:num>
  <w:num w:numId="14">
    <w:abstractNumId w:val="27"/>
  </w:num>
  <w:num w:numId="15">
    <w:abstractNumId w:val="16"/>
  </w:num>
  <w:num w:numId="16">
    <w:abstractNumId w:val="17"/>
  </w:num>
  <w:num w:numId="17">
    <w:abstractNumId w:val="14"/>
  </w:num>
  <w:num w:numId="18">
    <w:abstractNumId w:val="22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2"/>
  </w:num>
  <w:num w:numId="22">
    <w:abstractNumId w:val="10"/>
  </w:num>
  <w:num w:numId="23">
    <w:abstractNumId w:val="11"/>
  </w:num>
  <w:num w:numId="24">
    <w:abstractNumId w:val="24"/>
  </w:num>
  <w:num w:numId="25">
    <w:abstractNumId w:val="26"/>
  </w:num>
  <w:num w:numId="26">
    <w:abstractNumId w:val="13"/>
  </w:num>
  <w:num w:numId="27">
    <w:abstractNumId w:val="25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13"/>
  </w:num>
  <w:num w:numId="31">
    <w:abstractNumId w:val="13"/>
  </w:num>
  <w:num w:numId="32">
    <w:abstractNumId w:val="4"/>
  </w:num>
  <w:num w:numId="33">
    <w:abstractNumId w:val="13"/>
  </w:num>
  <w:num w:numId="34">
    <w:abstractNumId w:val="13"/>
  </w:num>
  <w:num w:numId="35">
    <w:abstractNumId w:val="13"/>
  </w:num>
  <w:num w:numId="36">
    <w:abstractNumId w:val="13"/>
  </w:num>
  <w:num w:numId="37">
    <w:abstractNumId w:val="13"/>
  </w:num>
  <w:num w:numId="38">
    <w:abstractNumId w:val="13"/>
  </w:num>
  <w:num w:numId="39">
    <w:abstractNumId w:val="13"/>
  </w:num>
  <w:num w:numId="4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10"/>
    <w:rsid w:val="00043512"/>
    <w:rsid w:val="0005090F"/>
    <w:rsid w:val="00083D6A"/>
    <w:rsid w:val="000A2DF8"/>
    <w:rsid w:val="000B3693"/>
    <w:rsid w:val="000B41B6"/>
    <w:rsid w:val="00101C48"/>
    <w:rsid w:val="00130F3C"/>
    <w:rsid w:val="001434EB"/>
    <w:rsid w:val="001516B8"/>
    <w:rsid w:val="0015535F"/>
    <w:rsid w:val="00161A96"/>
    <w:rsid w:val="00197FFA"/>
    <w:rsid w:val="001B33AC"/>
    <w:rsid w:val="001B72DE"/>
    <w:rsid w:val="001C10A8"/>
    <w:rsid w:val="001C4C8A"/>
    <w:rsid w:val="001D2529"/>
    <w:rsid w:val="001D5474"/>
    <w:rsid w:val="001E2C63"/>
    <w:rsid w:val="00210939"/>
    <w:rsid w:val="00217D1A"/>
    <w:rsid w:val="002515C0"/>
    <w:rsid w:val="002721F3"/>
    <w:rsid w:val="002B200E"/>
    <w:rsid w:val="002B4EAA"/>
    <w:rsid w:val="002B5D00"/>
    <w:rsid w:val="003317E5"/>
    <w:rsid w:val="00375010"/>
    <w:rsid w:val="003777D5"/>
    <w:rsid w:val="003B107D"/>
    <w:rsid w:val="003B721F"/>
    <w:rsid w:val="003C375D"/>
    <w:rsid w:val="003C42A4"/>
    <w:rsid w:val="003F144D"/>
    <w:rsid w:val="003F79D6"/>
    <w:rsid w:val="00413B4B"/>
    <w:rsid w:val="0043629D"/>
    <w:rsid w:val="0045059E"/>
    <w:rsid w:val="0049405C"/>
    <w:rsid w:val="00497C7E"/>
    <w:rsid w:val="004B47B1"/>
    <w:rsid w:val="004F6F03"/>
    <w:rsid w:val="00511122"/>
    <w:rsid w:val="0051123B"/>
    <w:rsid w:val="00535D6F"/>
    <w:rsid w:val="005464C3"/>
    <w:rsid w:val="00550FD9"/>
    <w:rsid w:val="005B3BAE"/>
    <w:rsid w:val="00622C3A"/>
    <w:rsid w:val="00623A26"/>
    <w:rsid w:val="0063326E"/>
    <w:rsid w:val="00684A13"/>
    <w:rsid w:val="006A1753"/>
    <w:rsid w:val="006A7B25"/>
    <w:rsid w:val="006B0B04"/>
    <w:rsid w:val="006C5210"/>
    <w:rsid w:val="006E4D55"/>
    <w:rsid w:val="006F64B3"/>
    <w:rsid w:val="00740C1A"/>
    <w:rsid w:val="00761259"/>
    <w:rsid w:val="00777BC7"/>
    <w:rsid w:val="00793203"/>
    <w:rsid w:val="007C213F"/>
    <w:rsid w:val="00803207"/>
    <w:rsid w:val="0082259D"/>
    <w:rsid w:val="008439B9"/>
    <w:rsid w:val="00845B88"/>
    <w:rsid w:val="00853994"/>
    <w:rsid w:val="00862CF2"/>
    <w:rsid w:val="008710F9"/>
    <w:rsid w:val="00880699"/>
    <w:rsid w:val="0089673B"/>
    <w:rsid w:val="008A4E3E"/>
    <w:rsid w:val="008B3EDE"/>
    <w:rsid w:val="008C111F"/>
    <w:rsid w:val="008F16A2"/>
    <w:rsid w:val="00921892"/>
    <w:rsid w:val="00930952"/>
    <w:rsid w:val="00941F1C"/>
    <w:rsid w:val="00951547"/>
    <w:rsid w:val="009C5679"/>
    <w:rsid w:val="009E293D"/>
    <w:rsid w:val="009F13CD"/>
    <w:rsid w:val="00A06B39"/>
    <w:rsid w:val="00A115A1"/>
    <w:rsid w:val="00A140B8"/>
    <w:rsid w:val="00A87A56"/>
    <w:rsid w:val="00AA5A95"/>
    <w:rsid w:val="00AB47CE"/>
    <w:rsid w:val="00AB67BB"/>
    <w:rsid w:val="00B17ECB"/>
    <w:rsid w:val="00B31C4E"/>
    <w:rsid w:val="00B454CA"/>
    <w:rsid w:val="00B65391"/>
    <w:rsid w:val="00B708D6"/>
    <w:rsid w:val="00B71E2E"/>
    <w:rsid w:val="00B84A84"/>
    <w:rsid w:val="00BB741D"/>
    <w:rsid w:val="00BE11BC"/>
    <w:rsid w:val="00BE3743"/>
    <w:rsid w:val="00C12E89"/>
    <w:rsid w:val="00C21A8C"/>
    <w:rsid w:val="00C35BCB"/>
    <w:rsid w:val="00C51768"/>
    <w:rsid w:val="00C81677"/>
    <w:rsid w:val="00C87159"/>
    <w:rsid w:val="00CA0689"/>
    <w:rsid w:val="00CA1629"/>
    <w:rsid w:val="00CB4AC9"/>
    <w:rsid w:val="00CC12EA"/>
    <w:rsid w:val="00CF7823"/>
    <w:rsid w:val="00D03DFD"/>
    <w:rsid w:val="00D06801"/>
    <w:rsid w:val="00D302B7"/>
    <w:rsid w:val="00D50045"/>
    <w:rsid w:val="00D87038"/>
    <w:rsid w:val="00D91B1B"/>
    <w:rsid w:val="00D96584"/>
    <w:rsid w:val="00DC7C3C"/>
    <w:rsid w:val="00DD1E65"/>
    <w:rsid w:val="00DE4B3F"/>
    <w:rsid w:val="00E00681"/>
    <w:rsid w:val="00E055AC"/>
    <w:rsid w:val="00E1525A"/>
    <w:rsid w:val="00E37317"/>
    <w:rsid w:val="00E50C4A"/>
    <w:rsid w:val="00E733AB"/>
    <w:rsid w:val="00EE1C10"/>
    <w:rsid w:val="00EE4F68"/>
    <w:rsid w:val="00EE7C01"/>
    <w:rsid w:val="00F16F75"/>
    <w:rsid w:val="00F628CA"/>
    <w:rsid w:val="00F66AD9"/>
    <w:rsid w:val="00FA1FC9"/>
    <w:rsid w:val="00FA7D26"/>
    <w:rsid w:val="00FC32FA"/>
    <w:rsid w:val="00FD0E95"/>
    <w:rsid w:val="00FE093E"/>
    <w:rsid w:val="00FE4AFD"/>
    <w:rsid w:val="00FF0263"/>
    <w:rsid w:val="00FF42DB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C1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A1FC9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autoRedefine/>
    <w:uiPriority w:val="99"/>
    <w:qFormat/>
    <w:rsid w:val="00C21A8C"/>
    <w:pPr>
      <w:widowControl/>
      <w:numPr>
        <w:numId w:val="26"/>
      </w:numPr>
      <w:tabs>
        <w:tab w:val="left" w:pos="0"/>
      </w:tabs>
      <w:overflowPunct w:val="0"/>
      <w:autoSpaceDE w:val="0"/>
      <w:autoSpaceDN w:val="0"/>
      <w:adjustRightInd w:val="0"/>
      <w:snapToGrid w:val="0"/>
      <w:spacing w:beforeLines="20" w:before="62" w:afterLines="20" w:after="62"/>
      <w:textAlignment w:val="baseline"/>
      <w:outlineLvl w:val="2"/>
    </w:pPr>
    <w:rPr>
      <w:rFonts w:asciiTheme="minorEastAsia" w:eastAsiaTheme="minorEastAsia" w:hAnsiTheme="minorEastAsia"/>
      <w:b/>
      <w:bCs/>
      <w:kern w:val="0"/>
      <w:szCs w:val="21"/>
      <w:lang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1C10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D9658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9658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96584"/>
    <w:rPr>
      <w:rFonts w:ascii="Times New Roman" w:eastAsia="宋体" w:hAnsi="Times New Roman" w:cs="Times New Roman"/>
      <w:sz w:val="18"/>
      <w:szCs w:val="18"/>
    </w:rPr>
  </w:style>
  <w:style w:type="paragraph" w:customStyle="1" w:styleId="FAQ305050505">
    <w:name w:val="样式 样式 深发展FAQ标题3 + 段前: 0.5 行 段后: 0.5 行 + 段前: 0.5 行 段后: 0.5 行"/>
    <w:basedOn w:val="a"/>
    <w:rsid w:val="00A140B8"/>
    <w:pPr>
      <w:widowControl/>
      <w:tabs>
        <w:tab w:val="left" w:pos="540"/>
      </w:tabs>
      <w:overflowPunct w:val="0"/>
      <w:autoSpaceDE w:val="0"/>
      <w:autoSpaceDN w:val="0"/>
      <w:adjustRightInd w:val="0"/>
      <w:snapToGrid w:val="0"/>
      <w:spacing w:beforeLines="50" w:afterLines="50" w:line="288" w:lineRule="auto"/>
      <w:jc w:val="left"/>
      <w:textAlignment w:val="baseline"/>
      <w:outlineLvl w:val="2"/>
    </w:pPr>
    <w:rPr>
      <w:rFonts w:ascii="黑体" w:eastAsia="黑体" w:hAnsi="Arial" w:cs="宋体"/>
      <w:color w:val="000000" w:themeColor="text1"/>
      <w:sz w:val="24"/>
      <w:szCs w:val="20"/>
      <w:lang w:bidi="he-IL"/>
    </w:rPr>
  </w:style>
  <w:style w:type="paragraph" w:customStyle="1" w:styleId="CM189ArialGB2312078">
    <w:name w:val="样式 样式 样式 CM189 + (西文) Arial (中文) 仿宋_GB2312 段前: 0 磅 段后: 7.8 磅 行距:..."/>
    <w:basedOn w:val="a"/>
    <w:link w:val="CM189ArialGB2312078Char"/>
    <w:uiPriority w:val="99"/>
    <w:rsid w:val="00A140B8"/>
    <w:pPr>
      <w:spacing w:beforeLines="50" w:afterLines="50" w:line="288" w:lineRule="auto"/>
      <w:ind w:firstLineChars="200" w:firstLine="200"/>
    </w:pPr>
    <w:rPr>
      <w:rFonts w:ascii="Arial" w:eastAsia="仿宋_GB2312" w:hAnsi="Arial" w:cs="宋体"/>
      <w:sz w:val="24"/>
      <w:szCs w:val="20"/>
    </w:rPr>
  </w:style>
  <w:style w:type="character" w:customStyle="1" w:styleId="3Char">
    <w:name w:val="标题 3 Char"/>
    <w:basedOn w:val="a0"/>
    <w:link w:val="3"/>
    <w:uiPriority w:val="99"/>
    <w:rsid w:val="00C21A8C"/>
    <w:rPr>
      <w:rFonts w:asciiTheme="minorEastAsia" w:hAnsiTheme="minorEastAsia" w:cs="Times New Roman"/>
      <w:b/>
      <w:bCs/>
      <w:kern w:val="0"/>
      <w:szCs w:val="21"/>
      <w:lang w:bidi="he-IL"/>
    </w:rPr>
  </w:style>
  <w:style w:type="paragraph" w:customStyle="1" w:styleId="30">
    <w:name w:val="标题3"/>
    <w:basedOn w:val="3"/>
    <w:autoRedefine/>
    <w:rsid w:val="0043629D"/>
    <w:pPr>
      <w:keepNext/>
      <w:keepLines/>
      <w:numPr>
        <w:numId w:val="4"/>
      </w:numPr>
      <w:overflowPunct/>
      <w:autoSpaceDE/>
      <w:autoSpaceDN/>
      <w:adjustRightInd/>
      <w:ind w:rightChars="100" w:right="220"/>
      <w:textAlignment w:val="auto"/>
    </w:pPr>
    <w:rPr>
      <w:rFonts w:ascii="宋体" w:eastAsia="宋体" w:hAnsi="宋体" w:cs="宋体"/>
      <w:color w:val="333333"/>
      <w:lang w:bidi="ar-SA"/>
    </w:rPr>
  </w:style>
  <w:style w:type="paragraph" w:styleId="a6">
    <w:name w:val="List Paragraph"/>
    <w:basedOn w:val="a"/>
    <w:uiPriority w:val="34"/>
    <w:qFormat/>
    <w:rsid w:val="00B31C4E"/>
    <w:pPr>
      <w:ind w:firstLineChars="200" w:firstLine="420"/>
    </w:pPr>
  </w:style>
  <w:style w:type="paragraph" w:customStyle="1" w:styleId="FAQ3">
    <w:name w:val="深发展FAQ标题3"/>
    <w:basedOn w:val="3"/>
    <w:link w:val="FAQ3Char"/>
    <w:qFormat/>
    <w:rsid w:val="00EE7C01"/>
    <w:pPr>
      <w:numPr>
        <w:numId w:val="6"/>
      </w:numPr>
      <w:spacing w:beforeLines="50" w:line="288" w:lineRule="auto"/>
      <w:ind w:left="0" w:firstLine="0"/>
    </w:pPr>
  </w:style>
  <w:style w:type="character" w:customStyle="1" w:styleId="FAQ3Char">
    <w:name w:val="深发展FAQ标题3 Char"/>
    <w:basedOn w:val="3Char"/>
    <w:link w:val="FAQ3"/>
    <w:rsid w:val="00EE7C01"/>
    <w:rPr>
      <w:rFonts w:asciiTheme="minorEastAsia" w:hAnsiTheme="minorEastAsia" w:cs="Times New Roman"/>
      <w:b/>
      <w:bCs/>
      <w:kern w:val="0"/>
      <w:sz w:val="24"/>
      <w:szCs w:val="21"/>
      <w:lang w:bidi="he-IL"/>
    </w:rPr>
  </w:style>
  <w:style w:type="character" w:customStyle="1" w:styleId="CM189ArialGB2312078Char">
    <w:name w:val="样式 样式 样式 CM189 + (西文) Arial (中文) 仿宋_GB2312 段前: 0 磅 段后: 7.8 磅 行距:... Char"/>
    <w:basedOn w:val="a0"/>
    <w:link w:val="CM189ArialGB2312078"/>
    <w:uiPriority w:val="99"/>
    <w:rsid w:val="00EE7C01"/>
    <w:rPr>
      <w:rFonts w:ascii="Arial" w:eastAsia="仿宋_GB2312" w:hAnsi="Arial" w:cs="宋体"/>
      <w:sz w:val="24"/>
      <w:szCs w:val="20"/>
    </w:rPr>
  </w:style>
  <w:style w:type="paragraph" w:customStyle="1" w:styleId="31">
    <w:name w:val="样式3"/>
    <w:basedOn w:val="CM189ArialGB2312078"/>
    <w:link w:val="3Char0"/>
    <w:qFormat/>
    <w:rsid w:val="00EE7C01"/>
    <w:pPr>
      <w:snapToGrid w:val="0"/>
      <w:spacing w:before="156" w:afterLines="0"/>
      <w:ind w:firstLine="480"/>
    </w:pPr>
    <w:rPr>
      <w:rFonts w:eastAsia="方正准圆_GBK_平安专用" w:cs="Times New Roman"/>
      <w:szCs w:val="24"/>
    </w:rPr>
  </w:style>
  <w:style w:type="character" w:customStyle="1" w:styleId="3Char0">
    <w:name w:val="样式3 Char"/>
    <w:link w:val="31"/>
    <w:rsid w:val="00EE7C01"/>
    <w:rPr>
      <w:rFonts w:ascii="Arial" w:eastAsia="方正准圆_GBK_平安专用" w:hAnsi="Arial" w:cs="Times New Roman"/>
      <w:sz w:val="24"/>
      <w:szCs w:val="24"/>
    </w:rPr>
  </w:style>
  <w:style w:type="paragraph" w:customStyle="1" w:styleId="1">
    <w:name w:val="样式1"/>
    <w:basedOn w:val="a6"/>
    <w:qFormat/>
    <w:rsid w:val="00130F3C"/>
    <w:pPr>
      <w:numPr>
        <w:numId w:val="8"/>
      </w:numPr>
      <w:ind w:firstLineChars="0" w:firstLine="0"/>
    </w:pPr>
    <w:rPr>
      <w:rFonts w:ascii="黑体" w:eastAsia="黑体" w:hAnsi="黑体"/>
      <w:szCs w:val="22"/>
    </w:rPr>
  </w:style>
  <w:style w:type="paragraph" w:styleId="a7">
    <w:name w:val="Balloon Text"/>
    <w:basedOn w:val="a"/>
    <w:link w:val="Char1"/>
    <w:uiPriority w:val="99"/>
    <w:semiHidden/>
    <w:unhideWhenUsed/>
    <w:rsid w:val="00D91B1B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D91B1B"/>
    <w:rPr>
      <w:rFonts w:ascii="Times New Roman" w:eastAsia="宋体" w:hAnsi="Times New Roman" w:cs="Times New Roman"/>
      <w:sz w:val="18"/>
      <w:szCs w:val="18"/>
    </w:rPr>
  </w:style>
  <w:style w:type="paragraph" w:customStyle="1" w:styleId="32">
    <w:name w:val="题目 3"/>
    <w:next w:val="a"/>
    <w:rsid w:val="00B708D6"/>
    <w:pPr>
      <w:keepNext/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 Unicode MS" w:eastAsia="华文细黑" w:hAnsi="Arial Unicode MS" w:cs="Arial Unicode MS" w:hint="eastAsia"/>
      <w:b/>
      <w:bCs/>
      <w:color w:val="000000"/>
      <w:kern w:val="0"/>
      <w:sz w:val="24"/>
      <w:szCs w:val="24"/>
      <w:bdr w:val="nil"/>
      <w:lang w:val="zh-TW" w:eastAsia="zh-TW"/>
    </w:rPr>
  </w:style>
  <w:style w:type="numbering" w:customStyle="1" w:styleId="List1">
    <w:name w:val="List 1"/>
    <w:basedOn w:val="a2"/>
    <w:rsid w:val="00B708D6"/>
    <w:pPr>
      <w:numPr>
        <w:numId w:val="13"/>
      </w:numPr>
    </w:pPr>
  </w:style>
  <w:style w:type="character" w:customStyle="1" w:styleId="2Char">
    <w:name w:val="标题 2 Char"/>
    <w:basedOn w:val="a0"/>
    <w:link w:val="2"/>
    <w:uiPriority w:val="9"/>
    <w:semiHidden/>
    <w:rsid w:val="00FA1FC9"/>
    <w:rPr>
      <w:rFonts w:asciiTheme="majorHAnsi" w:eastAsiaTheme="majorEastAsia" w:hAnsiTheme="majorHAnsi" w:cstheme="majorBidi"/>
      <w:b/>
      <w:bCs/>
      <w:sz w:val="32"/>
      <w:szCs w:val="32"/>
    </w:rPr>
  </w:style>
  <w:style w:type="character" w:styleId="a8">
    <w:name w:val="page number"/>
    <w:uiPriority w:val="99"/>
    <w:rsid w:val="002B5D00"/>
    <w:rPr>
      <w:lang w:val="zh-TW" w:eastAsia="zh-TW"/>
    </w:rPr>
  </w:style>
  <w:style w:type="paragraph" w:styleId="a9">
    <w:name w:val="Normal (Web)"/>
    <w:basedOn w:val="a"/>
    <w:uiPriority w:val="99"/>
    <w:rsid w:val="00E055AC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327</Words>
  <Characters>1864</Characters>
  <Application>Microsoft Office Word</Application>
  <DocSecurity>0</DocSecurity>
  <Lines>15</Lines>
  <Paragraphs>4</Paragraphs>
  <ScaleCrop>false</ScaleCrop>
  <Company>sdb</Company>
  <LinksUpToDate>false</LinksUpToDate>
  <CharactersWithSpaces>2187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Gao</dc:creator>
  <cp:lastModifiedBy>李稀真</cp:lastModifiedBy>
  <cp:revision>4</cp:revision>
  <dcterms:created xsi:type="dcterms:W3CDTF">2019-04-17T06:59:00Z</dcterms:created>
  <dcterms:modified xsi:type="dcterms:W3CDTF">2019-04-19T10:14:00Z</dcterms:modified>
</cp:coreProperties>
</file>