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C8715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3777D5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景林资产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3777D5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777D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="003777D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9E53C1" w:rsidP="002721F3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零售风险</w:t>
            </w:r>
            <w:r w:rsidR="00C87159" w:rsidRP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2515C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Default="002721F3" w:rsidP="005B3BAE">
            <w:pP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</w:t>
            </w:r>
            <w:r w:rsidRPr="009E293D">
              <w:rPr>
                <w:rFonts w:ascii="Arial" w:eastAsia="华文细黑" w:hAnsi="Arial" w:hint="eastAsia"/>
                <w:sz w:val="21"/>
              </w:rPr>
              <w:t>的发展战略？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积极响应国家战略，顺应国际国内经济金融形势，进一步深化“科技引领、零售突破、对公做精”策略方针，进一步加强对民营企业、小微企业的支持力度，进一步提升服务实体经济的能力。具体来说：一是推进“行业银行”转型，提升服务实体经济能力；二是加强科技赋能，加大民营企业、小微企业支持力度；三是积极拥抱变化，寻找“生态圈”动能；四是严守合规底线，加强风险管控。</w:t>
            </w:r>
          </w:p>
          <w:p w:rsidR="009E293D" w:rsidRPr="00CA0689" w:rsidRDefault="009E293D" w:rsidP="009E293D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 Unicode MS"/>
                <w:sz w:val="21"/>
                <w:szCs w:val="21"/>
                <w:lang w:eastAsia="zh-CN"/>
              </w:rPr>
            </w:pPr>
            <w:bookmarkStart w:id="0" w:name="_Toc464590920"/>
            <w:bookmarkStart w:id="1" w:name="_Toc464720594"/>
            <w:bookmarkStart w:id="2" w:name="_Toc464590889"/>
            <w:bookmarkStart w:id="3" w:name="_Toc464720557"/>
            <w:bookmarkStart w:id="4" w:name="_Toc448833286"/>
            <w:bookmarkStart w:id="5" w:name="_Toc458425958"/>
            <w:bookmarkStart w:id="6" w:name="_Toc464590895"/>
            <w:bookmarkStart w:id="7" w:name="_Toc464720571"/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存款</w:t>
            </w:r>
            <w:r>
              <w:rPr>
                <w:rFonts w:ascii="Arial" w:eastAsia="华文细黑" w:hAnsi="Arial" w:hint="eastAsia"/>
                <w:sz w:val="21"/>
              </w:rPr>
              <w:t>情况及</w:t>
            </w:r>
            <w:r w:rsidRPr="009E293D">
              <w:rPr>
                <w:rFonts w:ascii="Arial" w:eastAsia="华文细黑" w:hAnsi="Arial" w:hint="eastAsia"/>
                <w:sz w:val="21"/>
              </w:rPr>
              <w:t>趋势？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="442"/>
              <w:rPr>
                <w:rFonts w:ascii="Arial" w:eastAsia="华文细黑" w:hAnsi="Arial" w:hint="eastAsia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年末，本行吸收存款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21,285.57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1,281.37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亿元，增幅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6.4%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，存款增长整体保持平稳。其中，个人存款余额为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4,615.91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亿元，较上年末增幅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35.4%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。个人活期、定期、理财存款均有不同幅度增长。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未来，本行将持续提供多元化的存款产品，提升活期存款占比，保持存款稳定增长。</w:t>
            </w:r>
          </w:p>
          <w:p w:rsidR="003777D5" w:rsidRDefault="003777D5" w:rsidP="003777D5">
            <w:pPr>
              <w:ind w:firstLineChars="200" w:firstLine="400"/>
              <w:rPr>
                <w:rFonts w:ascii="Arial" w:eastAsia="华文细黑" w:hAnsi="Arial" w:hint="eastAsia"/>
                <w:lang w:bidi="he-IL"/>
              </w:rPr>
            </w:pPr>
          </w:p>
          <w:p w:rsidR="009E53C1" w:rsidRDefault="009E53C1" w:rsidP="009E53C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8" w:name="_Toc496018961"/>
            <w:r w:rsidRPr="003777D5">
              <w:rPr>
                <w:rFonts w:ascii="Arial" w:eastAsia="华文细黑" w:hAnsi="Arial" w:hint="eastAsia"/>
                <w:sz w:val="21"/>
              </w:rPr>
              <w:t>净息差的趋势分析？</w:t>
            </w:r>
          </w:p>
          <w:p w:rsidR="009E53C1" w:rsidRDefault="009E53C1" w:rsidP="009E53C1">
            <w:pPr>
              <w:adjustRightInd w:val="0"/>
              <w:snapToGrid w:val="0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年本行净息差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2.35%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，同比略下降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个基点，主要受上半年资金面维持紧平衡、市场利率高位运行等因素影响，本行全年付息负债成本增速略快于生息资产收益。</w:t>
            </w:r>
          </w:p>
          <w:p w:rsidR="009E53C1" w:rsidRPr="00E00681" w:rsidRDefault="009E53C1" w:rsidP="009E53C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未来</w:t>
            </w:r>
            <w:r w:rsidRPr="009E53C1">
              <w:rPr>
                <w:rFonts w:ascii="Arial" w:eastAsia="华文细黑" w:hAnsi="Arial" w:hint="eastAsia"/>
                <w:sz w:val="21"/>
                <w:szCs w:val="21"/>
              </w:rPr>
              <w:t>随着转型效果逐步显现，资产结构持续优化，负债成本较上年稳中有降，预计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9E53C1">
              <w:rPr>
                <w:rFonts w:ascii="Arial" w:eastAsia="华文细黑" w:hAnsi="Arial" w:hint="eastAsia"/>
                <w:sz w:val="21"/>
                <w:szCs w:val="21"/>
              </w:rPr>
              <w:t>年净息差大概率较去年有所提升</w:t>
            </w:r>
          </w:p>
          <w:bookmarkEnd w:id="8"/>
          <w:p w:rsidR="00E16BD1" w:rsidRPr="009E53C1" w:rsidRDefault="00E16BD1" w:rsidP="00E16BD1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16BD1" w:rsidRPr="00CA0689" w:rsidRDefault="00E16BD1" w:rsidP="00E16BD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理财子公司进展及目标？</w:t>
            </w:r>
          </w:p>
          <w:p w:rsidR="00E16BD1" w:rsidRPr="00E00681" w:rsidRDefault="00E16BD1" w:rsidP="00E16BD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日，本行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董事会已提交通了《关于设立资产管理子公司的议案》，目前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尚需监管机构的批准。</w:t>
            </w:r>
          </w:p>
          <w:p w:rsidR="009E53C1" w:rsidRPr="00E16BD1" w:rsidRDefault="009E53C1" w:rsidP="003777D5">
            <w:pPr>
              <w:ind w:firstLineChars="200" w:firstLine="400"/>
              <w:rPr>
                <w:rFonts w:ascii="Arial" w:eastAsia="华文细黑" w:hAnsi="Arial" w:hint="eastAsia"/>
                <w:lang w:bidi="he-IL"/>
              </w:rPr>
            </w:pPr>
          </w:p>
          <w:p w:rsidR="00E16BD1" w:rsidRDefault="00E16BD1" w:rsidP="00E16BD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资产质量情况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E16BD1" w:rsidRPr="00E00681" w:rsidRDefault="00E16BD1" w:rsidP="00E16BD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，本行积极应对外部宏观经济变化，持续优化信贷结构，严格管控增量业务风险，防范和化解存量贷款可能出现的各类风险，积极通过一系列措施，加大不良资产清收处置力度，加大拨备及核销力度，资产质量改善明显。</w:t>
            </w:r>
          </w:p>
          <w:p w:rsidR="00E16BD1" w:rsidRPr="00E16BD1" w:rsidRDefault="00E16BD1" w:rsidP="003777D5">
            <w:pPr>
              <w:ind w:firstLineChars="200" w:firstLine="400"/>
              <w:rPr>
                <w:rFonts w:ascii="Arial" w:eastAsia="华文细黑" w:hAnsi="Arial" w:hint="eastAsia"/>
                <w:lang w:bidi="he-IL"/>
              </w:rPr>
            </w:pPr>
          </w:p>
          <w:p w:rsidR="00E16BD1" w:rsidRDefault="00E16BD1" w:rsidP="00E16BD1">
            <w:pPr>
              <w:pStyle w:val="3"/>
              <w:outlineLvl w:val="2"/>
              <w:rPr>
                <w:rFonts w:ascii="Arial" w:eastAsia="华文细黑" w:hAnsi="Arial" w:hint="eastAsia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零售增长迅速，如何把握风控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E16BD1" w:rsidRPr="009E53C1" w:rsidRDefault="00E16BD1" w:rsidP="00E16BD1">
            <w:pPr>
              <w:ind w:firstLineChars="200" w:firstLine="420"/>
              <w:rPr>
                <w:lang w:bidi="he-IL"/>
              </w:rPr>
            </w:pP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本行自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2017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年底开始已前瞻性地进行风险政策调整，重点防范共债风险，有效控制并降低了高风险客户占比，新发放业务的资产质量稳定向好。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年末，本行零售业务不良率稳中有降，个人贷款不良率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1.07%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，较上年末下降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0.11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个百分点。</w:t>
            </w:r>
          </w:p>
          <w:p w:rsidR="00E16BD1" w:rsidRPr="00E16BD1" w:rsidRDefault="00E16BD1" w:rsidP="003777D5">
            <w:pPr>
              <w:ind w:firstLineChars="200" w:firstLine="400"/>
              <w:rPr>
                <w:rFonts w:ascii="Arial" w:eastAsia="华文细黑" w:hAnsi="Arial"/>
                <w:lang w:bidi="he-IL"/>
              </w:rPr>
            </w:pPr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 w:rsidRPr="009E293D">
              <w:rPr>
                <w:rFonts w:ascii="Arial" w:eastAsia="华文细黑" w:hAnsi="Arial" w:hint="eastAsia"/>
                <w:lang w:eastAsia="zh-TW"/>
              </w:rPr>
              <w:t>科技的投入和成果如何</w:t>
            </w:r>
            <w:r>
              <w:rPr>
                <w:rFonts w:ascii="Arial" w:eastAsia="华文细黑" w:hAnsi="Arial" w:hint="eastAsia"/>
                <w:lang w:eastAsia="zh-TW"/>
              </w:rPr>
              <w:t>？</w:t>
            </w:r>
          </w:p>
          <w:p w:rsidR="009E53C1" w:rsidRDefault="009E53C1" w:rsidP="009E53C1">
            <w:pPr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本行将“科技引领”作为全行首要发展战略方针。科技投入方面，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年，本行科技投入大幅增加，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资本性支出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25.75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亿元、同比增长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82%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9E53C1" w:rsidRDefault="009E53C1" w:rsidP="009E53C1">
            <w:pPr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科技治理方面，本行制定了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三年（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2019-2021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）发展规划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9E53C1" w:rsidRDefault="009E53C1" w:rsidP="009E53C1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创新方面，依托平安集团在人工智能、区块链、云计算等领域的核心技术和资源，利用新技术赋能业务，持续提升客户体验、丰富金融产品、创新业务模式、完善风控体系、优化运营效率、促进智慧管理。“科技引领”推动战略转型已初见成效。</w:t>
            </w:r>
          </w:p>
          <w:p w:rsidR="003777D5" w:rsidRDefault="003777D5" w:rsidP="003777D5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bookmarkStart w:id="9" w:name="_Toc448833292"/>
          </w:p>
          <w:p w:rsidR="00C87159" w:rsidRPr="00E00681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集团客户迁徙情况？</w:t>
            </w:r>
          </w:p>
          <w:p w:rsidR="00C87159" w:rsidRPr="00DA02F5" w:rsidRDefault="00C343BE" w:rsidP="00C343BE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bookmarkStart w:id="10" w:name="_GoBack"/>
            <w:bookmarkEnd w:id="10"/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年，综拓渠道迁徙客户（不含信用卡）新增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295.87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万户，占零售整体新增客户（不含信用卡）的比例为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29.8%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，其中私财客户净增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5.42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万户，占整体净增私财客户的比例为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40.1%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；管理零售客户资产（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AUM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）余额净增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1,403.59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亿元，占零售整体净增客户资产余额的比例为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42.5%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；零售全渠道代销集团保险累计实现非利息净收入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24.63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亿元，同比增幅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32.6%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C87159" w:rsidRDefault="00C87159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3777D5" w:rsidRPr="00CA0689" w:rsidRDefault="003777D5" w:rsidP="003777D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信用卡业务发展情况？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年末，本行信用卡业务继续保持稳健增长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流通卡量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5,152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万张，较上年末增长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34.4%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全年累计新增发卡量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1,737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万张，同比增长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15.1%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总交易金额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27,248.07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76.1%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4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贷款余额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4,732.95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55.9%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9E53C1" w:rsidRDefault="009E53C1" w:rsidP="009E53C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年，信用卡丰富产品体系，扩大品牌营销力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；全新打造卡权分离平台，满足客户个性化、定制化、差异化的需求；大力布局互联网获客，加强线上线下融合，有效提升获客效率。</w:t>
            </w:r>
          </w:p>
          <w:bookmarkEnd w:id="0"/>
          <w:bookmarkEnd w:id="1"/>
          <w:bookmarkEnd w:id="9"/>
          <w:p w:rsidR="00C87159" w:rsidRPr="00C87159" w:rsidRDefault="00C87159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A87A56" w:rsidRPr="00CA0689" w:rsidRDefault="003777D5" w:rsidP="003777D5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清收效果如何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  <w:bookmarkEnd w:id="2"/>
            <w:bookmarkEnd w:id="3"/>
          </w:p>
          <w:p w:rsidR="00A87A56" w:rsidRPr="00CA0689" w:rsidRDefault="003777D5" w:rsidP="005B3BAE">
            <w:pPr>
              <w:adjustRightInd w:val="0"/>
              <w:snapToGrid w:val="0"/>
              <w:spacing w:afterLines="20" w:after="62"/>
              <w:ind w:firstLine="442"/>
              <w:rPr>
                <w:rStyle w:val="a8"/>
                <w:rFonts w:ascii="Arial" w:eastAsia="华文细黑" w:hAnsi="Arial"/>
                <w:smallCaps/>
                <w:sz w:val="21"/>
                <w:szCs w:val="21"/>
              </w:rPr>
            </w:pP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本行充分发挥特管事业部专业清收优势，加大对已核销资产的清收力度，以减少后续拨备计提对利润的消耗，并进一步提升风险抵补指标。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年，本行已核销资产累计收回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94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亿元，同比增加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59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亿元、增幅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169%</w:t>
            </w:r>
            <w:r w:rsidRPr="003777D5">
              <w:rPr>
                <w:rFonts w:ascii="Arial" w:eastAsia="华文细黑" w:hAnsi="Arial" w:hint="eastAsia"/>
                <w:sz w:val="21"/>
                <w:szCs w:val="21"/>
              </w:rPr>
              <w:t>，清收成效显著。</w:t>
            </w:r>
          </w:p>
          <w:bookmarkEnd w:id="4"/>
          <w:bookmarkEnd w:id="5"/>
          <w:bookmarkEnd w:id="6"/>
          <w:bookmarkEnd w:id="7"/>
          <w:p w:rsidR="008B3EDE" w:rsidRDefault="008B3EDE" w:rsidP="005B3BAE">
            <w:pPr>
              <w:snapToGrid w:val="0"/>
              <w:spacing w:afterLines="20" w:after="62"/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9E53C1" w:rsidRPr="00CA0689" w:rsidRDefault="009E53C1" w:rsidP="009E53C1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>
              <w:rPr>
                <w:rFonts w:ascii="Arial" w:eastAsia="华文细黑" w:hAnsi="Arial" w:hint="eastAsia"/>
              </w:rPr>
              <w:t>贵行</w:t>
            </w:r>
            <w:r w:rsidRPr="00C87159">
              <w:rPr>
                <w:rFonts w:ascii="Arial" w:eastAsia="华文细黑" w:hAnsi="Arial" w:hint="eastAsia"/>
                <w:lang w:eastAsia="zh-TW"/>
              </w:rPr>
              <w:t>发行可转债后，资本充足率情况？</w:t>
            </w:r>
          </w:p>
          <w:p w:rsidR="009E53C1" w:rsidRDefault="009E53C1" w:rsidP="009E53C1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年末，本行核心一级资本充足率、一级资本充足率及资本充足率分别为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8.54%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9.39%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11.50%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，均满足监管达标要求，较上年末分别提高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0.26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、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0.21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0.30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个百分点。本行已于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日完成了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股可转换公司债券的发行，其中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亿元权益部分直接计入核心一级资本，其余部分将于转股后陆续补充本行核心一级资本，进一步提高资本充足水平。</w:t>
            </w:r>
          </w:p>
          <w:p w:rsidR="009E53C1" w:rsidRPr="009E53C1" w:rsidRDefault="009E53C1" w:rsidP="005B3BAE">
            <w:pPr>
              <w:snapToGrid w:val="0"/>
              <w:spacing w:afterLines="20" w:after="62"/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B0B04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</w:t>
            </w:r>
            <w:r w:rsidR="00FD0E95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3777D5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C21A8C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报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761259" w:rsidP="003777D5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="003F144D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777D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3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</w:t>
            </w:r>
            <w:r w:rsidR="003777D5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5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89" w:rsidRDefault="00E53D89" w:rsidP="00D96584">
      <w:r>
        <w:separator/>
      </w:r>
    </w:p>
  </w:endnote>
  <w:endnote w:type="continuationSeparator" w:id="0">
    <w:p w:rsidR="00E53D89" w:rsidRDefault="00E53D89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89" w:rsidRDefault="00E53D89" w:rsidP="00D96584">
      <w:r>
        <w:separator/>
      </w:r>
    </w:p>
  </w:footnote>
  <w:footnote w:type="continuationSeparator" w:id="0">
    <w:p w:rsidR="00E53D89" w:rsidRDefault="00E53D89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515C0"/>
    <w:rsid w:val="002721F3"/>
    <w:rsid w:val="002B200E"/>
    <w:rsid w:val="002B4EAA"/>
    <w:rsid w:val="002B5D00"/>
    <w:rsid w:val="003317E5"/>
    <w:rsid w:val="00375010"/>
    <w:rsid w:val="003777D5"/>
    <w:rsid w:val="003B107D"/>
    <w:rsid w:val="003B721F"/>
    <w:rsid w:val="003C375D"/>
    <w:rsid w:val="003C42A4"/>
    <w:rsid w:val="003F144D"/>
    <w:rsid w:val="003F79D6"/>
    <w:rsid w:val="00413B4B"/>
    <w:rsid w:val="0043629D"/>
    <w:rsid w:val="0045059E"/>
    <w:rsid w:val="0049405C"/>
    <w:rsid w:val="00497C7E"/>
    <w:rsid w:val="004B47B1"/>
    <w:rsid w:val="004F6F03"/>
    <w:rsid w:val="00511122"/>
    <w:rsid w:val="0051123B"/>
    <w:rsid w:val="00535D6F"/>
    <w:rsid w:val="005464C3"/>
    <w:rsid w:val="00550FD9"/>
    <w:rsid w:val="005B3BAE"/>
    <w:rsid w:val="00622C3A"/>
    <w:rsid w:val="00623A26"/>
    <w:rsid w:val="0063326E"/>
    <w:rsid w:val="00684A13"/>
    <w:rsid w:val="006A1753"/>
    <w:rsid w:val="006B0B04"/>
    <w:rsid w:val="006C5210"/>
    <w:rsid w:val="006E4D55"/>
    <w:rsid w:val="006F64B3"/>
    <w:rsid w:val="00740C1A"/>
    <w:rsid w:val="00761259"/>
    <w:rsid w:val="00793203"/>
    <w:rsid w:val="007C213F"/>
    <w:rsid w:val="00803207"/>
    <w:rsid w:val="0082259D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C5679"/>
    <w:rsid w:val="009E293D"/>
    <w:rsid w:val="009E53C1"/>
    <w:rsid w:val="009F13CD"/>
    <w:rsid w:val="00A06B39"/>
    <w:rsid w:val="00A140B8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43BE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16BD1"/>
    <w:rsid w:val="00E37317"/>
    <w:rsid w:val="00E53D89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333</Words>
  <Characters>1904</Characters>
  <Application>Microsoft Office Word</Application>
  <DocSecurity>0</DocSecurity>
  <Lines>15</Lines>
  <Paragraphs>4</Paragraphs>
  <ScaleCrop>false</ScaleCrop>
  <Company>sdb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4</cp:revision>
  <dcterms:created xsi:type="dcterms:W3CDTF">2019-04-17T06:47:00Z</dcterms:created>
  <dcterms:modified xsi:type="dcterms:W3CDTF">2019-04-19T10:15:00Z</dcterms:modified>
</cp:coreProperties>
</file>