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/>
          <w:sz w:val="24"/>
          <w:szCs w:val="24"/>
        </w:rPr>
      </w:pPr>
      <w:r>
        <w:rPr>
          <w:rFonts w:hint="eastAsia" w:ascii="Times" w:hAnsi="Times"/>
          <w:sz w:val="24"/>
          <w:szCs w:val="24"/>
        </w:rPr>
        <w:t>证券代码：</w:t>
      </w:r>
      <w:r>
        <w:rPr>
          <w:rFonts w:ascii="Times" w:hAnsi="Times"/>
          <w:sz w:val="24"/>
          <w:szCs w:val="24"/>
        </w:rPr>
        <w:t xml:space="preserve">000739                                    </w:t>
      </w:r>
      <w:r>
        <w:rPr>
          <w:rFonts w:hint="eastAsia" w:ascii="Times" w:hAnsi="Times"/>
          <w:sz w:val="24"/>
          <w:szCs w:val="24"/>
        </w:rPr>
        <w:t>证券简称：普洛药业</w:t>
      </w:r>
    </w:p>
    <w:p>
      <w:pPr>
        <w:jc w:val="center"/>
        <w:rPr>
          <w:rFonts w:ascii="Times" w:hAnsi="Times"/>
          <w:b/>
          <w:sz w:val="30"/>
          <w:szCs w:val="30"/>
        </w:rPr>
      </w:pPr>
      <w:r>
        <w:rPr>
          <w:rFonts w:hint="eastAsia" w:ascii="Times" w:hAnsi="Times"/>
          <w:b/>
          <w:sz w:val="30"/>
          <w:szCs w:val="30"/>
        </w:rPr>
        <w:t>普洛药业股份有限公司</w:t>
      </w:r>
    </w:p>
    <w:p>
      <w:pPr>
        <w:jc w:val="center"/>
        <w:rPr>
          <w:rFonts w:ascii="Times" w:hAnsi="Times"/>
          <w:b/>
          <w:sz w:val="30"/>
          <w:szCs w:val="30"/>
        </w:rPr>
      </w:pPr>
      <w:r>
        <w:rPr>
          <w:rFonts w:hint="eastAsia" w:ascii="Times" w:hAnsi="Times"/>
          <w:b/>
          <w:sz w:val="30"/>
          <w:szCs w:val="30"/>
        </w:rPr>
        <w:t>投资者关系活动记录表</w:t>
      </w:r>
    </w:p>
    <w:p>
      <w:pPr>
        <w:ind w:firstLine="6825" w:firstLineChars="3250"/>
        <w:rPr>
          <w:rFonts w:ascii="Times" w:hAnsi="Times"/>
        </w:rPr>
      </w:pPr>
      <w:r>
        <w:rPr>
          <w:rFonts w:hint="eastAsia" w:ascii="Times" w:hAnsi="Times"/>
        </w:rPr>
        <w:t>编号：</w:t>
      </w:r>
      <w:r>
        <w:rPr>
          <w:rFonts w:ascii="Times" w:hAnsi="Times"/>
        </w:rPr>
        <w:t>2019-02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hint="eastAsia" w:ascii="Times" w:hAnsi="Times"/>
                <w:sz w:val="24"/>
                <w:szCs w:val="24"/>
              </w:rPr>
              <w:t>特定对象调研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  <w:p>
            <w:pPr>
              <w:spacing w:line="312" w:lineRule="auto"/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中泰证券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祝嘉琦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国泰基金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叶烽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楹联基金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应振洲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兴全基金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杨世进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隋毅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交银施罗德基金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张胤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泰康资产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涂健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通用投资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陈佳琦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浙商证券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陈亚天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东方阿尔法基金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杨梦朝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坚果投资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盖伟伟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民生证券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袁中平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国金证券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许菲菲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王班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上海昶元投资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何方圆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中信证券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沈睦钧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太平养老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姚宏福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日下午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：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公司一楼会议室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董事长总经理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祝方猛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董事会秘书、副总经理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周玉旺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董事长助理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韦平平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财务总监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张进辉</w:t>
            </w:r>
          </w:p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证券事务代表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楼云娜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</w:tcPr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、公司情况简介</w:t>
            </w:r>
          </w:p>
          <w:p>
            <w:p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答：公司从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2017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年底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开始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整合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按照业务设立了三个事业部，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每个事业部有自己的研发和销售团队，原料药事业部有技术中心在横店，包括生物中心专门做生物发酵，做化学合成的化学中心以及做工程技术设备改造的工程中心，每个子公司还有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20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人左右的团队配合；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CDMO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事业部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有两个研发团队，分别在横店及上海，目前约有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100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人左右，上海的研发人员团队还在进一步扩充中；制剂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事业部的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研发中心在杭州，已开始运作，基本架构已搭建完成，目前公司总研发人员约在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400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人左右，未来几年将进入快速发展阶段。医药行业应该是一个科技型的行业而不是一个简单的制造行业，公司的安全、环保、质量都需核心科技的支持，这是一个持续的投入。</w:t>
            </w:r>
          </w:p>
          <w:p>
            <w:p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今年，公司各事业部要对“做精原料、做强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CDMO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、做优制剂”的战略做进一步的深化、细化。公司通过进一步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改善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生产效率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、调整产品结构和强化成本控制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，使得公司一季度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API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的毛利以及销售都得到了改善。公司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 xml:space="preserve">CDMO 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业务是化学合成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+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生物发酵的模式，过去几年公司对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CDMO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做了一个“降速换挡”的战略调整，公司由早期的以起始原料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+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注册中间体为主逐步转变为以注册中间体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+API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为主，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API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比中间体更加稳定，附加值更高，公司兽药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API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今年已有两个品种马上要进入商业化供应，正在验证中的品种有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5-10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个左右，公司目前也正在强化兽药的布局。公司目前制剂产品一是做有优势原料药的品种，部分品种做成制剂，通过原料药中间体、制剂的一体化，从成本上形成竞争力，二是布局一些特殊的技术、剂型，包括一些缓控式制剂等，另外公司也会考虑做一些有技术含量的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OTC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品种。公司一类创新药目前正在进行数据统计中，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200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多个病例和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10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多家的临床中心的关闭还需要一些时间。公司目前也在考虑引进一些临床期的品种或者临床后期的品种，相对临床前的品种来说风险更小。</w:t>
            </w:r>
          </w:p>
          <w:p>
            <w:p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2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、响水爆炸事件的影响</w:t>
            </w:r>
          </w:p>
          <w:p>
            <w:p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响水爆炸事件首先带来的是供应的紧张，并且会持续一段时间，但邻氯苯腈目前的涨价是非理性化和不可持续的，只做下游产品的企业在此次事件中会产生一定的影响，但对本公司的影响偏小，且公司沙坦联苯的价格在响水爆炸后有较大幅度的上升，但公司大多数产品价格都是相对稳定的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公司乌苯美司的销售情况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答：公司现有核心产品乌苯美司的销售在去年有不小的增幅，今年一季度的销售继续保持较好的增长，主要是由于公司销售端发力，公司销售队伍通过重组精简以后销售力量增强。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公司中药经典名方的销售布局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答：公司精选了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个品种进行委托研发，目前已申报部分品种，由于中药跟国家政策密切相关，未来销售情况较难预计，但经典名方工作是有一定价值和意义的，也是值得长期培育的。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CDMO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项目在哪里生产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答：安徽和横店各有一个产品预计在下半年进入商业化生产和销售，未来合成的品种基本上在横店生产，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CDMO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发酵品种在安徽和歌山生产。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公司羟酸、氟苯尼考等品种产能的情况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答：公司羟酸系列品种产能已经全满，公司也进行了局部的改造，但产能还是不足。氟苯尼考公司目前做的是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D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酯，受非洲猪瘟的影响中国兽药终端目前并不太好，氟苯尼考的定价比去年高峰时期略低。随着非洲猪瘟的缓解，预计国内兽药市场会逐渐向好。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公司邻氯苯腈备货情况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由于邻氯苯腈的非理性上涨，导致了供应的紧张、短缺，公司目前在跟生产企业做沟通，邻氯苯腈的高价对公司目前的产能有一定的影响，但公司并不会在这个高价的情况下做太多的库存，公司也会适当控制产能，公司沙坦联苯今年预计在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3000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吨左右，邻氯苯腈目前约有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1-2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个月的库存。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之前和外部合作的头孢品种目前情况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答：和其他公司合作的头孢品种</w:t>
            </w:r>
            <w:r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  <w:t>2</w:t>
            </w: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年前就已经停止合作，现在公司销售的是自有品牌的产品，虽然该品种销售量有所下降但是毛利还是增加的。同时其他制剂方面，公司也放弃了一些高成本低毛利的品种。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firstLine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公司海外收入锁汇情况</w:t>
            </w: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" w:hAnsi="Times" w:cs="宋体"/>
                <w:bCs/>
                <w:color w:val="000000"/>
                <w:kern w:val="0"/>
                <w:sz w:val="24"/>
                <w:szCs w:val="21"/>
              </w:rPr>
              <w:t>答：考虑汇率风险，公司进行了部分锁汇。</w:t>
            </w:r>
          </w:p>
          <w:p>
            <w:pPr>
              <w:spacing w:beforeLines="50" w:line="360" w:lineRule="auto"/>
              <w:ind w:left="48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rFonts w:ascii="Times" w:hAnsi="Times" w:cs="宋体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12" w:lineRule="auto"/>
              <w:rPr>
                <w:rFonts w:ascii="Times" w:hAnsi="Times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>
            <w:pPr>
              <w:spacing w:line="312" w:lineRule="auto"/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Times" w:hAnsi="Times"/>
                <w:bCs/>
                <w:iCs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Times" w:hAnsi="Times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" w:hAnsi="Time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637B"/>
    <w:multiLevelType w:val="singleLevel"/>
    <w:tmpl w:val="5639637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7115EF"/>
    <w:rsid w:val="00072818"/>
    <w:rsid w:val="000F7213"/>
    <w:rsid w:val="00157C80"/>
    <w:rsid w:val="00166640"/>
    <w:rsid w:val="00170A40"/>
    <w:rsid w:val="001F5A04"/>
    <w:rsid w:val="00250825"/>
    <w:rsid w:val="002816A8"/>
    <w:rsid w:val="00291B19"/>
    <w:rsid w:val="002F1199"/>
    <w:rsid w:val="0032763A"/>
    <w:rsid w:val="004837BF"/>
    <w:rsid w:val="00555FFD"/>
    <w:rsid w:val="005C19C1"/>
    <w:rsid w:val="005E73EA"/>
    <w:rsid w:val="00677B5E"/>
    <w:rsid w:val="006D62D1"/>
    <w:rsid w:val="006E151E"/>
    <w:rsid w:val="00704839"/>
    <w:rsid w:val="00710E6C"/>
    <w:rsid w:val="00711EEB"/>
    <w:rsid w:val="00737CE1"/>
    <w:rsid w:val="00743ADF"/>
    <w:rsid w:val="007543C7"/>
    <w:rsid w:val="00754D35"/>
    <w:rsid w:val="00775474"/>
    <w:rsid w:val="00782A14"/>
    <w:rsid w:val="00783129"/>
    <w:rsid w:val="007F44AB"/>
    <w:rsid w:val="008023B3"/>
    <w:rsid w:val="00885D1C"/>
    <w:rsid w:val="008B1845"/>
    <w:rsid w:val="008B1B8B"/>
    <w:rsid w:val="00903533"/>
    <w:rsid w:val="00981284"/>
    <w:rsid w:val="00A47B53"/>
    <w:rsid w:val="00A80D5C"/>
    <w:rsid w:val="00A9416E"/>
    <w:rsid w:val="00B10790"/>
    <w:rsid w:val="00B200BE"/>
    <w:rsid w:val="00BA067D"/>
    <w:rsid w:val="00BE1030"/>
    <w:rsid w:val="00BE11D5"/>
    <w:rsid w:val="00C1340D"/>
    <w:rsid w:val="00C15F4F"/>
    <w:rsid w:val="00C30296"/>
    <w:rsid w:val="00C32AC4"/>
    <w:rsid w:val="00C3603A"/>
    <w:rsid w:val="00C6058A"/>
    <w:rsid w:val="00C75078"/>
    <w:rsid w:val="00CB2A6C"/>
    <w:rsid w:val="00CE69A7"/>
    <w:rsid w:val="00D13B17"/>
    <w:rsid w:val="00D523C0"/>
    <w:rsid w:val="00D87F62"/>
    <w:rsid w:val="00DC7C5F"/>
    <w:rsid w:val="00DE1154"/>
    <w:rsid w:val="00DF3D85"/>
    <w:rsid w:val="00E15892"/>
    <w:rsid w:val="00E33A64"/>
    <w:rsid w:val="00E41388"/>
    <w:rsid w:val="00ED05FD"/>
    <w:rsid w:val="00F176B7"/>
    <w:rsid w:val="00F3258B"/>
    <w:rsid w:val="00F40B63"/>
    <w:rsid w:val="00F9021F"/>
    <w:rsid w:val="015D43F0"/>
    <w:rsid w:val="037576DB"/>
    <w:rsid w:val="07CA6E57"/>
    <w:rsid w:val="08AC1A68"/>
    <w:rsid w:val="08D14100"/>
    <w:rsid w:val="08FF310D"/>
    <w:rsid w:val="090E2DD1"/>
    <w:rsid w:val="093E0EAF"/>
    <w:rsid w:val="0A20199E"/>
    <w:rsid w:val="0B10134B"/>
    <w:rsid w:val="0B8546D4"/>
    <w:rsid w:val="0C7248A5"/>
    <w:rsid w:val="0D4C3D88"/>
    <w:rsid w:val="0DD702BF"/>
    <w:rsid w:val="0E0278AE"/>
    <w:rsid w:val="10277CE5"/>
    <w:rsid w:val="112B5ED3"/>
    <w:rsid w:val="112E1D4C"/>
    <w:rsid w:val="12C9091D"/>
    <w:rsid w:val="158A4BD0"/>
    <w:rsid w:val="15974576"/>
    <w:rsid w:val="164710C0"/>
    <w:rsid w:val="16BE50E3"/>
    <w:rsid w:val="17CC7D09"/>
    <w:rsid w:val="180C6B9E"/>
    <w:rsid w:val="1A663A56"/>
    <w:rsid w:val="1EA52D31"/>
    <w:rsid w:val="2032655D"/>
    <w:rsid w:val="20EC008A"/>
    <w:rsid w:val="264B410F"/>
    <w:rsid w:val="27BA0BB9"/>
    <w:rsid w:val="291A3BD6"/>
    <w:rsid w:val="2B612D1B"/>
    <w:rsid w:val="2BCF1603"/>
    <w:rsid w:val="2BF64780"/>
    <w:rsid w:val="2C6C3272"/>
    <w:rsid w:val="2C9B5858"/>
    <w:rsid w:val="2EB81709"/>
    <w:rsid w:val="2EE97599"/>
    <w:rsid w:val="30362C61"/>
    <w:rsid w:val="31EC793D"/>
    <w:rsid w:val="36F12B4C"/>
    <w:rsid w:val="38050B1F"/>
    <w:rsid w:val="39962899"/>
    <w:rsid w:val="3ADE34ED"/>
    <w:rsid w:val="3B6503A8"/>
    <w:rsid w:val="3C3C247D"/>
    <w:rsid w:val="3CC45A51"/>
    <w:rsid w:val="3DE25338"/>
    <w:rsid w:val="3E437C20"/>
    <w:rsid w:val="3EC22CEE"/>
    <w:rsid w:val="3EEF7791"/>
    <w:rsid w:val="3EF4409A"/>
    <w:rsid w:val="3F91386C"/>
    <w:rsid w:val="3FBD4C3A"/>
    <w:rsid w:val="48D727F6"/>
    <w:rsid w:val="49674A64"/>
    <w:rsid w:val="4B873AD7"/>
    <w:rsid w:val="4D511A09"/>
    <w:rsid w:val="4EA211BD"/>
    <w:rsid w:val="4EDF37A1"/>
    <w:rsid w:val="4F783D0E"/>
    <w:rsid w:val="503A01BB"/>
    <w:rsid w:val="536D0B10"/>
    <w:rsid w:val="577736DB"/>
    <w:rsid w:val="58970289"/>
    <w:rsid w:val="59DD75D3"/>
    <w:rsid w:val="5BD60983"/>
    <w:rsid w:val="5BEF0ADB"/>
    <w:rsid w:val="5D2F5379"/>
    <w:rsid w:val="5DFC6B20"/>
    <w:rsid w:val="5ED20BAF"/>
    <w:rsid w:val="5ED42D3B"/>
    <w:rsid w:val="61EA7725"/>
    <w:rsid w:val="6207346E"/>
    <w:rsid w:val="63243A49"/>
    <w:rsid w:val="638278F3"/>
    <w:rsid w:val="665761FB"/>
    <w:rsid w:val="66C4370A"/>
    <w:rsid w:val="66DC3DAB"/>
    <w:rsid w:val="687115EF"/>
    <w:rsid w:val="68D370E2"/>
    <w:rsid w:val="6AF94F15"/>
    <w:rsid w:val="6B2210DA"/>
    <w:rsid w:val="6B32730D"/>
    <w:rsid w:val="6B955594"/>
    <w:rsid w:val="6BE866C4"/>
    <w:rsid w:val="6C4472DE"/>
    <w:rsid w:val="6CA71EBA"/>
    <w:rsid w:val="6D0D1080"/>
    <w:rsid w:val="70745AF0"/>
    <w:rsid w:val="717B03CA"/>
    <w:rsid w:val="74037936"/>
    <w:rsid w:val="749C2D9B"/>
    <w:rsid w:val="74E31BA9"/>
    <w:rsid w:val="74FA63FF"/>
    <w:rsid w:val="75AF288E"/>
    <w:rsid w:val="79F210E8"/>
    <w:rsid w:val="7A4F176D"/>
    <w:rsid w:val="7A7E63E9"/>
    <w:rsid w:val="7AEF713C"/>
    <w:rsid w:val="7D321BEA"/>
    <w:rsid w:val="7D3663BB"/>
    <w:rsid w:val="7D8F2B50"/>
    <w:rsid w:val="7DE73A23"/>
    <w:rsid w:val="7DF4770D"/>
    <w:rsid w:val="7F9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301</Words>
  <Characters>1719</Characters>
  <Lines>0</Lines>
  <Paragraphs>0</Paragraphs>
  <TotalTime>68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2018-08-10T00:20:00Z</dcterms:created>
  <dc:creator>花梧影</dc:creator>
  <cp:lastModifiedBy>呆甜</cp:lastModifiedBy>
  <cp:lastPrinted>2019-03-11T07:47:00Z</cp:lastPrinted>
  <dcterms:modified xsi:type="dcterms:W3CDTF">2019-04-25T10:42:31Z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