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960"/>
        <w:rPr>
          <w:rFonts w:ascii="Times New Roman" w:hAnsi="Times New Roman"/>
          <w:bCs/>
          <w:iCs/>
          <w:sz w:val="24"/>
        </w:rPr>
      </w:pPr>
      <w:r>
        <w:rPr>
          <w:rFonts w:hint="default" w:ascii="Times New Roman" w:hAnsi="Times New Roman"/>
          <w:bCs/>
          <w:iCs/>
          <w:sz w:val="24"/>
        </w:rPr>
        <w:t>证券代码：002050                  证券简称：三花智控</w:t>
      </w:r>
    </w:p>
    <w:p>
      <w:pPr>
        <w:spacing w:line="400" w:lineRule="exact"/>
        <w:ind w:firstLine="960"/>
        <w:rPr>
          <w:rFonts w:ascii="Times New Roman" w:hAnsi="Times New Roman"/>
          <w:bCs/>
          <w:iCs/>
          <w:sz w:val="24"/>
        </w:rPr>
      </w:pPr>
    </w:p>
    <w:p>
      <w:pPr>
        <w:spacing w:line="400" w:lineRule="exact"/>
        <w:jc w:val="center"/>
        <w:rPr>
          <w:rFonts w:ascii="Times New Roman" w:hAnsi="Times New Roman"/>
          <w:b/>
          <w:bCs/>
          <w:iCs/>
          <w:sz w:val="32"/>
          <w:szCs w:val="32"/>
        </w:rPr>
      </w:pPr>
      <w:r>
        <w:rPr>
          <w:rFonts w:hint="default" w:ascii="Times New Roman" w:hAnsi="Times New Roman"/>
          <w:b/>
          <w:bCs/>
          <w:iCs/>
          <w:sz w:val="32"/>
          <w:szCs w:val="32"/>
        </w:rPr>
        <w:t>2019年</w:t>
      </w:r>
      <w:r>
        <w:rPr>
          <w:rFonts w:hint="eastAsia"/>
          <w:b/>
          <w:bCs/>
          <w:iCs/>
          <w:sz w:val="32"/>
          <w:szCs w:val="32"/>
          <w:lang w:val="en-US" w:eastAsia="zh-CN"/>
        </w:rPr>
        <w:t>4</w:t>
      </w:r>
      <w:r>
        <w:rPr>
          <w:rFonts w:hint="default" w:ascii="Times New Roman" w:hAnsi="Times New Roman"/>
          <w:b/>
          <w:bCs/>
          <w:iCs/>
          <w:sz w:val="32"/>
          <w:szCs w:val="32"/>
        </w:rPr>
        <w:t>月</w:t>
      </w:r>
      <w:r>
        <w:rPr>
          <w:rFonts w:hint="eastAsia"/>
          <w:b/>
          <w:bCs/>
          <w:iCs/>
          <w:sz w:val="32"/>
          <w:szCs w:val="32"/>
          <w:lang w:val="en-US" w:eastAsia="zh-CN"/>
        </w:rPr>
        <w:t>25</w:t>
      </w:r>
      <w:r>
        <w:rPr>
          <w:rFonts w:hint="default" w:ascii="Times New Roman" w:hAnsi="Times New Roman"/>
          <w:b/>
          <w:bCs/>
          <w:iCs/>
          <w:sz w:val="32"/>
          <w:szCs w:val="32"/>
        </w:rPr>
        <w:t>日投资者关系活动记录表</w:t>
      </w:r>
    </w:p>
    <w:p>
      <w:pPr>
        <w:spacing w:line="400" w:lineRule="exact"/>
        <w:rPr>
          <w:rFonts w:hint="eastAsia" w:ascii="Times New Roman" w:hAnsi="Times New Roman" w:eastAsia="宋体"/>
          <w:bCs/>
          <w:iCs/>
          <w:sz w:val="24"/>
          <w:lang w:val="en-US" w:eastAsia="zh-CN"/>
        </w:rPr>
      </w:pPr>
      <w:r>
        <w:rPr>
          <w:rFonts w:hint="default" w:ascii="Times New Roman" w:hAnsi="Times New Roman"/>
          <w:bCs/>
          <w:iCs/>
          <w:sz w:val="24"/>
        </w:rPr>
        <w:t xml:space="preserve">                                                      编号：201</w:t>
      </w:r>
      <w:r>
        <w:rPr>
          <w:rFonts w:hint="eastAsia"/>
          <w:bCs/>
          <w:iCs/>
          <w:sz w:val="24"/>
          <w:lang w:val="en-US" w:eastAsia="zh-CN"/>
        </w:rPr>
        <w:t>9</w:t>
      </w:r>
      <w:r>
        <w:rPr>
          <w:rFonts w:hint="default" w:ascii="Times New Roman" w:hAnsi="Times New Roman"/>
          <w:bCs/>
          <w:iCs/>
          <w:sz w:val="24"/>
        </w:rPr>
        <w:t>-0</w:t>
      </w:r>
      <w:r>
        <w:rPr>
          <w:rFonts w:hint="eastAsia"/>
          <w:bCs/>
          <w:iCs/>
          <w:sz w:val="24"/>
          <w:lang w:val="en-US" w:eastAsia="zh-CN"/>
        </w:rPr>
        <w:t>03</w:t>
      </w:r>
    </w:p>
    <w:tbl>
      <w:tblPr>
        <w:tblStyle w:val="8"/>
        <w:tblW w:w="9564" w:type="dxa"/>
        <w:jc w:val="center"/>
        <w:tblInd w:w="-108" w:type="dxa"/>
        <w:tblLayout w:type="fixed"/>
        <w:tblCellMar>
          <w:top w:w="0" w:type="dxa"/>
          <w:left w:w="10" w:type="dxa"/>
          <w:bottom w:w="0" w:type="dxa"/>
          <w:right w:w="10" w:type="dxa"/>
        </w:tblCellMar>
      </w:tblPr>
      <w:tblGrid>
        <w:gridCol w:w="1809"/>
        <w:gridCol w:w="7755"/>
      </w:tblGrid>
      <w:tr>
        <w:tblPrEx>
          <w:tblLayout w:type="fixed"/>
          <w:tblCellMar>
            <w:top w:w="0" w:type="dxa"/>
            <w:left w:w="10" w:type="dxa"/>
            <w:bottom w:w="0" w:type="dxa"/>
            <w:right w:w="10" w:type="dxa"/>
          </w:tblCellMar>
        </w:tblPrEx>
        <w:trPr>
          <w:trHeight w:val="2525" w:hRule="atLeast"/>
          <w:jc w:val="center"/>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80" w:lineRule="atLeast"/>
              <w:rPr>
                <w:rFonts w:ascii="Times New Roman" w:hAnsi="Times New Roman"/>
                <w:b/>
                <w:bCs/>
                <w:iCs/>
                <w:sz w:val="24"/>
              </w:rPr>
            </w:pPr>
            <w:r>
              <w:rPr>
                <w:rFonts w:hint="default" w:ascii="Times New Roman" w:hAnsi="Times New Roman"/>
                <w:b/>
                <w:bCs/>
                <w:iCs/>
                <w:sz w:val="24"/>
              </w:rPr>
              <w:t>投资者关系活动类别</w:t>
            </w:r>
          </w:p>
          <w:p>
            <w:pPr>
              <w:spacing w:line="480" w:lineRule="atLeast"/>
              <w:rPr>
                <w:rFonts w:ascii="Times New Roman" w:hAnsi="Times New Roman"/>
                <w:b/>
                <w:bCs/>
                <w:iCs/>
                <w:sz w:val="24"/>
              </w:rPr>
            </w:pP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80" w:lineRule="atLeast"/>
              <w:rPr>
                <w:rFonts w:cs="Times New Roman"/>
                <w:szCs w:val="21"/>
              </w:rPr>
            </w:pPr>
            <w:r>
              <w:rPr>
                <w:rFonts w:hint="default" w:cs="Times New Roman"/>
                <w:szCs w:val="21"/>
              </w:rPr>
              <w:t>√特定对象调研        □分析师会议</w:t>
            </w:r>
          </w:p>
          <w:p>
            <w:pPr>
              <w:spacing w:line="480" w:lineRule="atLeast"/>
              <w:rPr>
                <w:rFonts w:cs="Times New Roman"/>
                <w:szCs w:val="21"/>
              </w:rPr>
            </w:pPr>
            <w:r>
              <w:rPr>
                <w:rFonts w:hint="default" w:cs="Times New Roman"/>
                <w:szCs w:val="21"/>
              </w:rPr>
              <w:t>□媒体采访            □业绩说明会</w:t>
            </w:r>
          </w:p>
          <w:p>
            <w:pPr>
              <w:spacing w:line="480" w:lineRule="atLeast"/>
              <w:rPr>
                <w:rFonts w:cs="Times New Roman"/>
                <w:szCs w:val="21"/>
              </w:rPr>
            </w:pPr>
            <w:r>
              <w:rPr>
                <w:rFonts w:hint="default" w:cs="Times New Roman"/>
                <w:szCs w:val="21"/>
              </w:rPr>
              <w:t>□新闻发布会          □路演活动</w:t>
            </w:r>
          </w:p>
          <w:p>
            <w:pPr>
              <w:spacing w:line="480" w:lineRule="atLeast"/>
              <w:rPr>
                <w:rFonts w:cs="Times New Roman"/>
                <w:szCs w:val="21"/>
              </w:rPr>
            </w:pPr>
            <w:r>
              <w:rPr>
                <w:rFonts w:hint="default" w:cs="Times New Roman"/>
                <w:szCs w:val="21"/>
              </w:rPr>
              <w:t>√现场参观</w:t>
            </w:r>
          </w:p>
          <w:p>
            <w:pPr>
              <w:spacing w:line="480" w:lineRule="atLeast"/>
              <w:rPr>
                <w:rFonts w:cs="Times New Roman"/>
                <w:szCs w:val="21"/>
              </w:rPr>
            </w:pPr>
            <w:r>
              <w:rPr>
                <w:rFonts w:hint="default" w:cs="Times New Roman"/>
                <w:szCs w:val="21"/>
              </w:rPr>
              <w:t>□其他（请文字说明其他活动内容）</w:t>
            </w:r>
          </w:p>
        </w:tc>
      </w:tr>
      <w:tr>
        <w:tblPrEx>
          <w:tblLayout w:type="fixed"/>
          <w:tblCellMar>
            <w:top w:w="0" w:type="dxa"/>
            <w:left w:w="10" w:type="dxa"/>
            <w:bottom w:w="0" w:type="dxa"/>
            <w:right w:w="10" w:type="dxa"/>
          </w:tblCellMar>
        </w:tblPrEx>
        <w:trPr>
          <w:trHeight w:val="956" w:hRule="atLeast"/>
          <w:jc w:val="center"/>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80" w:lineRule="atLeast"/>
              <w:rPr>
                <w:rFonts w:ascii="Times New Roman" w:hAnsi="Times New Roman"/>
                <w:b/>
                <w:bCs/>
                <w:iCs/>
                <w:sz w:val="24"/>
              </w:rPr>
            </w:pPr>
            <w:r>
              <w:rPr>
                <w:rFonts w:hint="default" w:ascii="Times New Roman" w:hAnsi="Times New Roman"/>
                <w:b/>
                <w:bCs/>
                <w:iCs/>
                <w:sz w:val="24"/>
              </w:rPr>
              <w:t>参与单位名称及人员姓名</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rPr>
                <w:rFonts w:hint="eastAsia"/>
                <w:lang w:val="en-US" w:eastAsia="zh-CN"/>
              </w:rPr>
            </w:pPr>
            <w:r>
              <w:rPr>
                <w:rFonts w:hint="eastAsia"/>
                <w:lang w:val="en-US" w:eastAsia="zh-CN"/>
              </w:rPr>
              <w:t xml:space="preserve">花旗集团  李儒 刘德雄 沈琦琦 张艺佳  </w:t>
            </w:r>
          </w:p>
          <w:p>
            <w:pPr>
              <w:spacing w:line="300" w:lineRule="auto"/>
              <w:rPr>
                <w:rFonts w:hint="eastAsia"/>
                <w:lang w:val="en-US" w:eastAsia="zh-CN"/>
              </w:rPr>
            </w:pPr>
            <w:r>
              <w:rPr>
                <w:rFonts w:hint="eastAsia"/>
                <w:lang w:val="en-US" w:eastAsia="zh-CN"/>
              </w:rPr>
              <w:t>Dymon Asia Capital  Jamie Xiong /Yong Wang</w:t>
            </w:r>
          </w:p>
          <w:p>
            <w:pPr>
              <w:spacing w:line="300" w:lineRule="auto"/>
              <w:rPr>
                <w:rFonts w:hint="default"/>
                <w:lang w:val="en-US" w:eastAsia="zh-CN"/>
              </w:rPr>
            </w:pPr>
            <w:r>
              <w:rPr>
                <w:rFonts w:hint="eastAsia"/>
                <w:lang w:val="en-US" w:eastAsia="zh-CN"/>
              </w:rPr>
              <w:t xml:space="preserve">Myriad Asset 吴新雨                    TT国际 蔡昀浩  </w:t>
            </w:r>
          </w:p>
          <w:p>
            <w:pPr>
              <w:spacing w:line="300" w:lineRule="auto"/>
              <w:rPr>
                <w:rFonts w:hint="eastAsia"/>
                <w:lang w:val="en-US" w:eastAsia="zh-CN"/>
              </w:rPr>
            </w:pPr>
            <w:r>
              <w:rPr>
                <w:rFonts w:hint="eastAsia"/>
                <w:lang w:val="en-US" w:eastAsia="zh-CN"/>
              </w:rPr>
              <w:t>三井住友 奚哲渔                       国泰基金 丁晓丹</w:t>
            </w:r>
          </w:p>
          <w:p>
            <w:pPr>
              <w:spacing w:line="300" w:lineRule="auto"/>
              <w:rPr>
                <w:rFonts w:hint="default"/>
                <w:lang w:val="en-US" w:eastAsia="zh-CN"/>
              </w:rPr>
            </w:pPr>
            <w:r>
              <w:rPr>
                <w:rFonts w:hint="eastAsia"/>
                <w:lang w:val="en-US" w:eastAsia="zh-CN"/>
              </w:rPr>
              <w:t>复华投信 洪天华                       嘉实基金 王丹</w:t>
            </w:r>
          </w:p>
          <w:p>
            <w:pPr>
              <w:spacing w:line="300" w:lineRule="auto"/>
              <w:rPr>
                <w:rFonts w:hint="eastAsia"/>
                <w:lang w:val="en-US" w:eastAsia="zh-CN"/>
              </w:rPr>
            </w:pPr>
            <w:r>
              <w:rPr>
                <w:rFonts w:hint="eastAsia"/>
                <w:lang w:val="en-US" w:eastAsia="zh-CN"/>
              </w:rPr>
              <w:t xml:space="preserve">中信资本 赵鹏飞                       </w:t>
            </w:r>
          </w:p>
        </w:tc>
      </w:tr>
      <w:tr>
        <w:tblPrEx>
          <w:tblLayout w:type="fixed"/>
          <w:tblCellMar>
            <w:top w:w="0" w:type="dxa"/>
            <w:left w:w="10" w:type="dxa"/>
            <w:bottom w:w="0" w:type="dxa"/>
            <w:right w:w="10" w:type="dxa"/>
          </w:tblCellMar>
        </w:tblPrEx>
        <w:trPr>
          <w:trHeight w:val="510" w:hRule="atLeast"/>
          <w:jc w:val="center"/>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
                <w:bCs/>
                <w:iCs/>
                <w:sz w:val="24"/>
              </w:rPr>
            </w:pPr>
            <w:r>
              <w:rPr>
                <w:rFonts w:hint="default" w:ascii="Times New Roman" w:hAnsi="Times New Roman"/>
                <w:b/>
                <w:bCs/>
                <w:iCs/>
                <w:sz w:val="24"/>
              </w:rPr>
              <w:t>时间</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eastAsia="宋体" w:cs="Times New Roman"/>
                <w:szCs w:val="21"/>
                <w:lang w:val="en-US" w:eastAsia="zh-CN"/>
              </w:rPr>
            </w:pPr>
            <w:r>
              <w:rPr>
                <w:rFonts w:hint="default" w:cs="Times New Roman"/>
                <w:szCs w:val="21"/>
              </w:rPr>
              <w:t>201</w:t>
            </w:r>
            <w:r>
              <w:rPr>
                <w:rFonts w:hint="eastAsia" w:cs="Times New Roman"/>
                <w:szCs w:val="21"/>
                <w:lang w:val="en-US" w:eastAsia="zh-CN"/>
              </w:rPr>
              <w:t>9</w:t>
            </w:r>
            <w:r>
              <w:rPr>
                <w:rFonts w:hint="default" w:cs="Times New Roman"/>
                <w:szCs w:val="21"/>
              </w:rPr>
              <w:t>年</w:t>
            </w:r>
            <w:r>
              <w:rPr>
                <w:rFonts w:hint="eastAsia" w:cs="Times New Roman"/>
                <w:szCs w:val="21"/>
                <w:lang w:val="en-US" w:eastAsia="zh-CN"/>
              </w:rPr>
              <w:t>4月25日</w:t>
            </w:r>
          </w:p>
        </w:tc>
      </w:tr>
      <w:tr>
        <w:tblPrEx>
          <w:tblLayout w:type="fixed"/>
          <w:tblCellMar>
            <w:top w:w="0" w:type="dxa"/>
            <w:left w:w="10" w:type="dxa"/>
            <w:bottom w:w="0" w:type="dxa"/>
            <w:right w:w="10" w:type="dxa"/>
          </w:tblCellMar>
        </w:tblPrEx>
        <w:trPr>
          <w:trHeight w:val="510" w:hRule="atLeast"/>
          <w:jc w:val="center"/>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
                <w:bCs/>
                <w:iCs/>
                <w:sz w:val="24"/>
              </w:rPr>
            </w:pPr>
            <w:r>
              <w:rPr>
                <w:rFonts w:hint="default" w:ascii="Times New Roman" w:hAnsi="Times New Roman"/>
                <w:b/>
                <w:bCs/>
                <w:iCs/>
                <w:sz w:val="24"/>
              </w:rPr>
              <w:t>地点</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Cs/>
                <w:iCs/>
                <w:szCs w:val="21"/>
              </w:rPr>
            </w:pPr>
            <w:r>
              <w:rPr>
                <w:rFonts w:hint="default" w:ascii="Times New Roman" w:hAnsi="Times New Roman"/>
                <w:bCs/>
                <w:iCs/>
                <w:szCs w:val="21"/>
              </w:rPr>
              <w:t>浙江杭州</w:t>
            </w:r>
          </w:p>
        </w:tc>
      </w:tr>
      <w:tr>
        <w:tblPrEx>
          <w:tblLayout w:type="fixed"/>
          <w:tblCellMar>
            <w:top w:w="0" w:type="dxa"/>
            <w:left w:w="10" w:type="dxa"/>
            <w:bottom w:w="0" w:type="dxa"/>
            <w:right w:w="10" w:type="dxa"/>
          </w:tblCellMar>
        </w:tblPrEx>
        <w:trPr>
          <w:jc w:val="center"/>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80" w:lineRule="atLeast"/>
              <w:rPr>
                <w:rFonts w:ascii="Times New Roman" w:hAnsi="Times New Roman"/>
                <w:b/>
                <w:bCs/>
                <w:iCs/>
                <w:sz w:val="24"/>
              </w:rPr>
            </w:pPr>
            <w:r>
              <w:rPr>
                <w:rFonts w:hint="default" w:ascii="Times New Roman" w:hAnsi="Times New Roman"/>
                <w:b/>
                <w:bCs/>
                <w:iCs/>
                <w:sz w:val="24"/>
              </w:rPr>
              <w:t>上市公司接待人员姓名</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240" w:line="480" w:lineRule="atLeast"/>
              <w:rPr>
                <w:rFonts w:hint="eastAsia" w:ascii="Times New Roman" w:hAnsi="Times New Roman" w:eastAsia="宋体"/>
                <w:bCs/>
                <w:iCs/>
                <w:szCs w:val="21"/>
                <w:lang w:val="en-US" w:eastAsia="zh-CN"/>
              </w:rPr>
            </w:pPr>
            <w:r>
              <w:rPr>
                <w:rFonts w:hint="default" w:ascii="Times New Roman" w:hAnsi="Times New Roman"/>
                <w:bCs/>
                <w:iCs/>
                <w:szCs w:val="21"/>
              </w:rPr>
              <w:t>陈汪杰</w:t>
            </w:r>
            <w:r>
              <w:rPr>
                <w:rFonts w:hint="eastAsia"/>
                <w:bCs/>
                <w:iCs/>
                <w:szCs w:val="21"/>
                <w:lang w:eastAsia="zh-CN"/>
              </w:rPr>
              <w:t>、厉轩</w:t>
            </w:r>
          </w:p>
        </w:tc>
      </w:tr>
      <w:tr>
        <w:tblPrEx>
          <w:tblLayout w:type="fixed"/>
          <w:tblCellMar>
            <w:top w:w="0" w:type="dxa"/>
            <w:left w:w="10" w:type="dxa"/>
            <w:bottom w:w="0" w:type="dxa"/>
            <w:right w:w="10" w:type="dxa"/>
          </w:tblCellMar>
        </w:tblPrEx>
        <w:trPr>
          <w:trHeight w:val="1134" w:hRule="atLeast"/>
          <w:jc w:val="center"/>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80" w:lineRule="atLeast"/>
              <w:rPr>
                <w:rFonts w:ascii="Times New Roman" w:hAnsi="Times New Roman"/>
                <w:b/>
                <w:bCs/>
                <w:iCs/>
                <w:sz w:val="24"/>
              </w:rPr>
            </w:pPr>
            <w:r>
              <w:rPr>
                <w:rFonts w:hint="default" w:ascii="Times New Roman" w:hAnsi="Times New Roman"/>
                <w:b/>
                <w:bCs/>
                <w:iCs/>
                <w:sz w:val="24"/>
              </w:rPr>
              <w:t>投资者关系活动主要内容介绍</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360" w:lineRule="auto"/>
              <w:jc w:val="left"/>
              <w:rPr>
                <w:rFonts w:hint="eastAsia" w:cs="Times New Roman"/>
                <w:b/>
                <w:bCs/>
                <w:color w:val="000000" w:themeColor="text1"/>
                <w:kern w:val="0"/>
                <w:szCs w:val="21"/>
                <w:lang w:val="en-US" w:eastAsia="zh-CN"/>
                <w14:textFill>
                  <w14:solidFill>
                    <w14:schemeClr w14:val="tx1"/>
                  </w14:solidFill>
                </w14:textFill>
              </w:rPr>
            </w:pPr>
            <w:r>
              <w:rPr>
                <w:rFonts w:hint="eastAsia" w:cs="Times New Roman"/>
                <w:b/>
                <w:bCs/>
                <w:color w:val="000000" w:themeColor="text1"/>
                <w:kern w:val="0"/>
                <w:szCs w:val="21"/>
                <w:lang w:val="en-US" w:eastAsia="zh-CN"/>
                <w14:textFill>
                  <w14:solidFill>
                    <w14:schemeClr w14:val="tx1"/>
                  </w14:solidFill>
                </w14:textFill>
              </w:rPr>
              <w:t>问题一：公司一季度报中来自新能源车业务收入占三花汽零收入的多少？</w:t>
            </w:r>
          </w:p>
          <w:p>
            <w:pPr>
              <w:spacing w:line="360" w:lineRule="auto"/>
              <w:rPr>
                <w:rFonts w:hint="eastAsia" w:cs="Times New Roman"/>
                <w:color w:val="000000" w:themeColor="text1"/>
                <w:kern w:val="0"/>
                <w:szCs w:val="21"/>
                <w:lang w:val="en-US" w:eastAsia="zh-CN"/>
                <w14:textFill>
                  <w14:solidFill>
                    <w14:schemeClr w14:val="tx1"/>
                  </w14:solidFill>
                </w14:textFill>
              </w:rPr>
            </w:pPr>
            <w:r>
              <w:rPr>
                <w:rFonts w:hint="eastAsia" w:cs="Times New Roman"/>
                <w:color w:val="000000" w:themeColor="text1"/>
                <w:kern w:val="0"/>
                <w:szCs w:val="21"/>
                <w:lang w:val="en-US" w:eastAsia="zh-CN"/>
                <w14:textFill>
                  <w14:solidFill>
                    <w14:schemeClr w14:val="tx1"/>
                  </w14:solidFill>
                </w14:textFill>
              </w:rPr>
              <w:t>答：2019年一季报中，新能源车业务收入占三花汽零营收的40%左右。</w:t>
            </w:r>
          </w:p>
          <w:p>
            <w:pPr>
              <w:spacing w:line="360" w:lineRule="auto"/>
              <w:rPr>
                <w:rFonts w:hint="default" w:cs="Times New Roman"/>
                <w:color w:val="000000" w:themeColor="text1"/>
                <w:kern w:val="0"/>
                <w:szCs w:val="21"/>
                <w:lang w:val="en-US" w:eastAsia="zh-CN"/>
                <w14:textFill>
                  <w14:solidFill>
                    <w14:schemeClr w14:val="tx1"/>
                  </w14:solidFill>
                </w14:textFill>
              </w:rPr>
            </w:pPr>
          </w:p>
          <w:p>
            <w:pPr>
              <w:widowControl/>
              <w:spacing w:line="360" w:lineRule="auto"/>
              <w:jc w:val="left"/>
              <w:rPr>
                <w:rFonts w:hint="default" w:cs="Times New Roman"/>
                <w:b/>
                <w:bCs/>
                <w:color w:val="000000" w:themeColor="text1"/>
                <w:kern w:val="0"/>
                <w:szCs w:val="21"/>
                <w:lang w:eastAsia="zh-CN"/>
                <w14:textFill>
                  <w14:solidFill>
                    <w14:schemeClr w14:val="tx1"/>
                  </w14:solidFill>
                </w14:textFill>
              </w:rPr>
            </w:pPr>
            <w:r>
              <w:rPr>
                <w:rFonts w:hint="default" w:cs="Times New Roman"/>
                <w:b/>
                <w:bCs/>
                <w:color w:val="000000" w:themeColor="text1"/>
                <w:kern w:val="0"/>
                <w:szCs w:val="21"/>
                <w:lang w:eastAsia="zh-CN"/>
                <w14:textFill>
                  <w14:solidFill>
                    <w14:schemeClr w14:val="tx1"/>
                  </w14:solidFill>
                </w14:textFill>
              </w:rPr>
              <w:t>问题</w:t>
            </w:r>
            <w:r>
              <w:rPr>
                <w:rFonts w:hint="eastAsia" w:cs="Times New Roman"/>
                <w:b/>
                <w:bCs/>
                <w:color w:val="000000" w:themeColor="text1"/>
                <w:kern w:val="0"/>
                <w:szCs w:val="21"/>
                <w:lang w:eastAsia="zh-CN"/>
                <w14:textFill>
                  <w14:solidFill>
                    <w14:schemeClr w14:val="tx1"/>
                  </w14:solidFill>
                </w14:textFill>
              </w:rPr>
              <w:t>二</w:t>
            </w:r>
            <w:r>
              <w:rPr>
                <w:rFonts w:hint="default" w:cs="Times New Roman"/>
                <w:b/>
                <w:bCs/>
                <w:color w:val="000000" w:themeColor="text1"/>
                <w:kern w:val="0"/>
                <w:szCs w:val="21"/>
                <w:lang w:eastAsia="zh-CN"/>
                <w14:textFill>
                  <w14:solidFill>
                    <w14:schemeClr w14:val="tx1"/>
                  </w14:solidFill>
                </w14:textFill>
              </w:rPr>
              <w:t>：</w:t>
            </w:r>
            <w:r>
              <w:rPr>
                <w:rFonts w:hint="eastAsia" w:cs="Times New Roman"/>
                <w:b/>
                <w:bCs/>
                <w:color w:val="000000" w:themeColor="text1"/>
                <w:kern w:val="0"/>
                <w:szCs w:val="21"/>
                <w:lang w:val="en-US" w:eastAsia="zh-CN"/>
                <w14:textFill>
                  <w14:solidFill>
                    <w14:schemeClr w14:val="tx1"/>
                  </w14:solidFill>
                </w14:textFill>
              </w:rPr>
              <w:t>三花汽零业务的竞争对手？以及较其他公司的优势？</w:t>
            </w:r>
          </w:p>
          <w:p>
            <w:pPr>
              <w:spacing w:line="360" w:lineRule="auto"/>
              <w:rPr>
                <w:rFonts w:hint="eastAsia"/>
                <w:szCs w:val="21"/>
                <w:lang w:val="en-US" w:eastAsia="zh-CN"/>
              </w:rPr>
            </w:pPr>
            <w:r>
              <w:rPr>
                <w:rFonts w:hint="default"/>
                <w:szCs w:val="21"/>
                <w:lang w:val="en-US" w:eastAsia="zh-CN"/>
              </w:rPr>
              <w:t>答：</w:t>
            </w:r>
            <w:r>
              <w:rPr>
                <w:rFonts w:hint="eastAsia"/>
                <w:szCs w:val="21"/>
                <w:lang w:val="en-US" w:eastAsia="zh-CN"/>
              </w:rPr>
              <w:t>公司的产品覆盖了阀、泵、热交换等三大类部件，公司能够提供的热管理部件非常全面，其他竞争对手目前都没有这么全的热管理产品品类。三花在建筑节能热管理领域深耕30年，有稳定、专业的管理和研发团队，并且积累的技术专利与汽零业务有协同效应，因此我司汽零业务具有天然的优势。</w:t>
            </w:r>
          </w:p>
          <w:p>
            <w:pPr>
              <w:spacing w:line="360" w:lineRule="auto"/>
              <w:rPr>
                <w:rFonts w:hint="eastAsia"/>
                <w:b/>
                <w:szCs w:val="21"/>
              </w:rPr>
            </w:pPr>
          </w:p>
          <w:p>
            <w:pPr>
              <w:spacing w:line="360" w:lineRule="auto"/>
              <w:rPr>
                <w:rFonts w:hint="eastAsia" w:asciiTheme="minorHAnsi" w:hAnsiTheme="minorEastAsia" w:eastAsiaTheme="minorEastAsia" w:cstheme="minorHAnsi"/>
                <w:b/>
                <w:bCs/>
                <w:color w:val="000000" w:themeColor="text1"/>
                <w:kern w:val="0"/>
                <w:szCs w:val="21"/>
                <w:lang w:val="en-US" w:eastAsia="zh-CN"/>
                <w14:textFill>
                  <w14:solidFill>
                    <w14:schemeClr w14:val="tx1"/>
                  </w14:solidFill>
                </w14:textFill>
              </w:rPr>
            </w:pPr>
            <w:r>
              <w:rPr>
                <w:rFonts w:hint="eastAsia" w:asciiTheme="minorHAnsi" w:hAnsiTheme="minorEastAsia" w:eastAsiaTheme="minorEastAsia" w:cstheme="minorHAnsi"/>
                <w:b/>
                <w:bCs/>
                <w:color w:val="000000" w:themeColor="text1"/>
                <w:kern w:val="0"/>
                <w:szCs w:val="21"/>
                <w:lang w:val="en-US" w:eastAsia="zh-CN"/>
                <w14:textFill>
                  <w14:solidFill>
                    <w14:schemeClr w14:val="tx1"/>
                  </w14:solidFill>
                </w14:textFill>
              </w:rPr>
              <w:t>问题三：汽车行业增速在下滑，为什么公司汽车零部件业务能保持正向增长？</w:t>
            </w:r>
          </w:p>
          <w:p>
            <w:pPr>
              <w:spacing w:line="360" w:lineRule="auto"/>
              <w:rPr>
                <w:rFonts w:hint="default" w:cs="Times New Roman" w:eastAsiaTheme="minorEastAsia"/>
                <w:color w:val="000000" w:themeColor="text1"/>
                <w:kern w:val="0"/>
                <w:szCs w:val="21"/>
                <w:lang w:val="en-US" w:eastAsia="zh-CN"/>
                <w14:textFill>
                  <w14:solidFill>
                    <w14:schemeClr w14:val="tx1"/>
                  </w14:solidFill>
                </w14:textFill>
              </w:rPr>
            </w:pPr>
            <w:r>
              <w:rPr>
                <w:rFonts w:hint="eastAsia" w:cs="Times New Roman" w:eastAsiaTheme="minorEastAsia"/>
                <w:color w:val="000000" w:themeColor="text1"/>
                <w:kern w:val="0"/>
                <w:szCs w:val="21"/>
                <w:lang w:val="en-US" w:eastAsia="zh-CN"/>
                <w14:textFill>
                  <w14:solidFill>
                    <w14:schemeClr w14:val="tx1"/>
                  </w14:solidFill>
                </w14:textFill>
              </w:rPr>
              <w:t>答：公司传统车业务受到行业增速下滑的影响，基本与行业保持同步；新能源车业务整体增长趋势不变。今年一季度，新能源车业务收入同比去年增长超</w:t>
            </w:r>
            <w:bookmarkStart w:id="0" w:name="_GoBack"/>
            <w:bookmarkEnd w:id="0"/>
            <w:r>
              <w:rPr>
                <w:rFonts w:hint="eastAsia" w:cs="Times New Roman" w:eastAsiaTheme="minorEastAsia"/>
                <w:color w:val="000000" w:themeColor="text1"/>
                <w:kern w:val="0"/>
                <w:szCs w:val="21"/>
                <w:lang w:val="en-US" w:eastAsia="zh-CN"/>
                <w14:textFill>
                  <w14:solidFill>
                    <w14:schemeClr w14:val="tx1"/>
                  </w14:solidFill>
                </w14:textFill>
              </w:rPr>
              <w:t>200%，来自主机厂端的订单依旧很饱满。</w:t>
            </w:r>
          </w:p>
          <w:p>
            <w:pPr>
              <w:spacing w:line="360" w:lineRule="auto"/>
              <w:rPr>
                <w:rFonts w:hint="eastAsia" w:cs="Times New Roman" w:eastAsiaTheme="minorEastAsia"/>
                <w:color w:val="000000" w:themeColor="text1"/>
                <w:kern w:val="0"/>
                <w:szCs w:val="21"/>
                <w:lang w:val="en-US" w:eastAsia="zh-CN"/>
                <w14:textFill>
                  <w14:solidFill>
                    <w14:schemeClr w14:val="tx1"/>
                  </w14:solidFill>
                </w14:textFill>
              </w:rPr>
            </w:pPr>
          </w:p>
          <w:p>
            <w:pPr>
              <w:keepNext w:val="0"/>
              <w:keepLines w:val="0"/>
              <w:widowControl/>
              <w:numPr>
                <w:ilvl w:val="0"/>
                <w:numId w:val="0"/>
              </w:numPr>
              <w:suppressLineNumbers w:val="0"/>
              <w:wordWrap/>
              <w:spacing w:line="26" w:lineRule="atLeast"/>
              <w:ind w:leftChars="0"/>
              <w:jc w:val="left"/>
              <w:rPr>
                <w:rFonts w:hint="eastAsia" w:ascii="Helvetica" w:hAnsi="Helvetica" w:eastAsia="Helvetica" w:cs="Helvetica"/>
                <w:b/>
                <w:bCs/>
                <w:i w:val="0"/>
                <w:caps w:val="0"/>
                <w:color w:val="393939"/>
                <w:spacing w:val="0"/>
                <w:kern w:val="0"/>
                <w:sz w:val="21"/>
                <w:szCs w:val="21"/>
                <w:u w:val="none"/>
                <w:lang w:val="en-US" w:eastAsia="zh-CN" w:bidi="ar"/>
              </w:rPr>
            </w:pPr>
            <w:r>
              <w:rPr>
                <w:rFonts w:hint="eastAsia" w:cs="Times New Roman"/>
                <w:b/>
                <w:bCs/>
                <w:color w:val="000000" w:themeColor="text1"/>
                <w:kern w:val="0"/>
                <w:szCs w:val="21"/>
                <w:lang w:val="en-US" w:eastAsia="zh-CN"/>
                <w14:textFill>
                  <w14:solidFill>
                    <w14:schemeClr w14:val="tx1"/>
                  </w14:solidFill>
                </w14:textFill>
              </w:rPr>
              <w:t>问题四：</w:t>
            </w:r>
            <w:r>
              <w:rPr>
                <w:rFonts w:hint="eastAsia" w:ascii="Helvetica" w:hAnsi="Helvetica" w:eastAsia="Helvetica" w:cs="Helvetica"/>
                <w:b/>
                <w:bCs/>
                <w:i w:val="0"/>
                <w:caps w:val="0"/>
                <w:color w:val="393939"/>
                <w:spacing w:val="0"/>
                <w:kern w:val="0"/>
                <w:sz w:val="21"/>
                <w:szCs w:val="21"/>
                <w:u w:val="none"/>
                <w:lang w:val="en-US" w:eastAsia="zh-CN" w:bidi="ar"/>
              </w:rPr>
              <w:t>公司公告了最高单车货值5000人民币的车型，能否详细介绍一下该车型？</w:t>
            </w:r>
          </w:p>
          <w:p>
            <w:pPr>
              <w:spacing w:line="360" w:lineRule="auto"/>
              <w:rPr>
                <w:rFonts w:hint="eastAsia" w:ascii="Helvetica" w:hAnsi="Helvetica" w:eastAsia="Helvetica" w:cs="Helvetica"/>
                <w:i w:val="0"/>
                <w:caps w:val="0"/>
                <w:color w:val="393939"/>
                <w:spacing w:val="0"/>
                <w:kern w:val="0"/>
                <w:sz w:val="21"/>
                <w:szCs w:val="21"/>
                <w:u w:val="none"/>
                <w:lang w:val="en-US" w:eastAsia="zh-CN" w:bidi="ar"/>
              </w:rPr>
            </w:pPr>
            <w:r>
              <w:rPr>
                <w:rFonts w:hint="eastAsia" w:ascii="Helvetica" w:hAnsi="Helvetica" w:eastAsia="Helvetica" w:cs="Helvetica"/>
                <w:i w:val="0"/>
                <w:caps w:val="0"/>
                <w:color w:val="393939"/>
                <w:spacing w:val="0"/>
                <w:kern w:val="0"/>
                <w:sz w:val="21"/>
                <w:szCs w:val="21"/>
                <w:u w:val="none"/>
                <w:lang w:val="en-US" w:eastAsia="zh-CN" w:bidi="ar"/>
              </w:rPr>
              <w:t>答：年报中提到单车配套5000元，涉及欧洲车企的一款车型，量产时间在2020年，公司为其提供了热管理系统中的多个集成组件及电子水泵、水冷板等热管理产品，货值提升明显。</w:t>
            </w:r>
          </w:p>
          <w:p>
            <w:pPr>
              <w:spacing w:line="360" w:lineRule="auto"/>
              <w:rPr>
                <w:rFonts w:hint="default" w:eastAsia="宋体" w:cs="Times New Roman"/>
                <w:color w:val="000000" w:themeColor="text1"/>
                <w:kern w:val="0"/>
                <w:szCs w:val="21"/>
                <w:lang w:val="en-US" w:eastAsia="zh-CN"/>
                <w14:textFill>
                  <w14:solidFill>
                    <w14:schemeClr w14:val="tx1"/>
                  </w14:solidFill>
                </w14:textFill>
              </w:rPr>
            </w:pPr>
          </w:p>
          <w:p>
            <w:pPr>
              <w:widowControl/>
              <w:spacing w:line="360" w:lineRule="auto"/>
              <w:jc w:val="left"/>
              <w:rPr>
                <w:rFonts w:hint="eastAsia" w:cs="Times New Roman"/>
                <w:b/>
                <w:bCs/>
                <w:color w:val="000000" w:themeColor="text1"/>
                <w:kern w:val="0"/>
                <w:szCs w:val="21"/>
                <w:lang w:val="en-US" w:eastAsia="zh-CN"/>
                <w14:textFill>
                  <w14:solidFill>
                    <w14:schemeClr w14:val="tx1"/>
                  </w14:solidFill>
                </w14:textFill>
              </w:rPr>
            </w:pPr>
            <w:r>
              <w:rPr>
                <w:rFonts w:hint="eastAsia" w:cs="Times New Roman"/>
                <w:b/>
                <w:bCs/>
                <w:color w:val="000000" w:themeColor="text1"/>
                <w:kern w:val="0"/>
                <w:szCs w:val="21"/>
                <w:lang w:val="en-US" w:eastAsia="zh-CN"/>
                <w14:textFill>
                  <w14:solidFill>
                    <w14:schemeClr w14:val="tx1"/>
                  </w14:solidFill>
                </w14:textFill>
              </w:rPr>
              <w:t>问题五：公司2019年的研发费用计划如何，如何安排？</w:t>
            </w:r>
          </w:p>
          <w:p>
            <w:pPr>
              <w:spacing w:line="360" w:lineRule="auto"/>
              <w:rPr>
                <w:rFonts w:hint="default" w:eastAsia="宋体" w:cs="Times New Roman"/>
                <w:color w:val="000000" w:themeColor="text1"/>
                <w:kern w:val="0"/>
                <w:szCs w:val="21"/>
                <w:lang w:val="en-US" w:eastAsia="zh-CN"/>
                <w14:textFill>
                  <w14:solidFill>
                    <w14:schemeClr w14:val="tx1"/>
                  </w14:solidFill>
                </w14:textFill>
              </w:rPr>
            </w:pPr>
            <w:r>
              <w:rPr>
                <w:rFonts w:hint="eastAsia" w:cs="Times New Roman"/>
                <w:color w:val="000000" w:themeColor="text1"/>
                <w:kern w:val="0"/>
                <w:szCs w:val="21"/>
                <w:lang w:val="en-US" w:eastAsia="zh-CN"/>
                <w14:textFill>
                  <w14:solidFill>
                    <w14:schemeClr w14:val="tx1"/>
                  </w14:solidFill>
                </w14:textFill>
              </w:rPr>
              <w:t>答：预计占整体营收的4%左右，主要用于</w:t>
            </w:r>
            <w:r>
              <w:rPr>
                <w:rFonts w:hint="default" w:ascii="Helvetica" w:hAnsi="Helvetica" w:eastAsia="Helvetica" w:cs="Helvetica"/>
                <w:i w:val="0"/>
                <w:caps w:val="0"/>
                <w:color w:val="393939"/>
                <w:spacing w:val="0"/>
                <w:kern w:val="0"/>
                <w:sz w:val="21"/>
                <w:szCs w:val="21"/>
                <w:u w:val="none"/>
                <w:lang w:val="en-US" w:eastAsia="zh-CN" w:bidi="ar"/>
              </w:rPr>
              <w:t>主要在汽车零部件业务，</w:t>
            </w:r>
            <w:r>
              <w:rPr>
                <w:rFonts w:hint="eastAsia" w:ascii="Helvetica" w:hAnsi="Helvetica" w:eastAsia="Helvetica" w:cs="Helvetica"/>
                <w:i w:val="0"/>
                <w:caps w:val="0"/>
                <w:color w:val="393939"/>
                <w:spacing w:val="0"/>
                <w:kern w:val="0"/>
                <w:sz w:val="21"/>
                <w:szCs w:val="21"/>
                <w:u w:val="none"/>
                <w:lang w:val="en-US" w:eastAsia="zh-CN" w:bidi="ar"/>
              </w:rPr>
              <w:t>新能源汽车处于高速发展，热管理要求也越来越高，需要持续不断的投入研发。</w:t>
            </w:r>
            <w:r>
              <w:rPr>
                <w:rFonts w:hint="default" w:ascii="Helvetica" w:hAnsi="Helvetica" w:eastAsia="Helvetica" w:cs="Helvetica"/>
                <w:i w:val="0"/>
                <w:caps w:val="0"/>
                <w:color w:val="393939"/>
                <w:spacing w:val="0"/>
                <w:kern w:val="0"/>
                <w:sz w:val="21"/>
                <w:szCs w:val="21"/>
                <w:u w:val="none"/>
                <w:lang w:val="en-US" w:eastAsia="zh-CN" w:bidi="ar"/>
              </w:rPr>
              <w:t>其次为商用制冷业务，商用制冷部件市场空间很大，目前公司市占率还比较低，需要不断开发新产品</w:t>
            </w:r>
            <w:r>
              <w:rPr>
                <w:rFonts w:hint="eastAsia" w:ascii="Helvetica" w:hAnsi="Helvetica" w:eastAsia="Helvetica" w:cs="Helvetica"/>
                <w:i w:val="0"/>
                <w:caps w:val="0"/>
                <w:color w:val="393939"/>
                <w:spacing w:val="0"/>
                <w:kern w:val="0"/>
                <w:sz w:val="21"/>
                <w:szCs w:val="21"/>
                <w:u w:val="none"/>
                <w:lang w:val="en-US" w:eastAsia="zh-CN" w:bidi="ar"/>
              </w:rPr>
              <w:t>去切入</w:t>
            </w:r>
            <w:r>
              <w:rPr>
                <w:rFonts w:hint="default" w:ascii="Helvetica" w:hAnsi="Helvetica" w:eastAsia="Helvetica" w:cs="Helvetica"/>
                <w:i w:val="0"/>
                <w:caps w:val="0"/>
                <w:color w:val="393939"/>
                <w:spacing w:val="0"/>
                <w:kern w:val="0"/>
                <w:sz w:val="21"/>
                <w:szCs w:val="21"/>
                <w:u w:val="none"/>
                <w:lang w:val="en-US" w:eastAsia="zh-CN" w:bidi="ar"/>
              </w:rPr>
              <w:t>以开拓市场；</w:t>
            </w:r>
            <w:r>
              <w:rPr>
                <w:rFonts w:hint="eastAsia" w:ascii="Helvetica" w:hAnsi="Helvetica" w:eastAsia="Helvetica" w:cs="Helvetica"/>
                <w:i w:val="0"/>
                <w:caps w:val="0"/>
                <w:color w:val="393939"/>
                <w:spacing w:val="0"/>
                <w:kern w:val="0"/>
                <w:sz w:val="21"/>
                <w:szCs w:val="21"/>
                <w:u w:val="none"/>
                <w:lang w:val="en-US" w:eastAsia="zh-CN" w:bidi="ar"/>
              </w:rPr>
              <w:t>然后是在战略产品上的投入，尤其电子膨胀阀，</w:t>
            </w:r>
            <w:r>
              <w:rPr>
                <w:rFonts w:hint="default" w:ascii="Helvetica" w:hAnsi="Helvetica" w:eastAsia="Helvetica" w:cs="Helvetica"/>
                <w:i w:val="0"/>
                <w:caps w:val="0"/>
                <w:color w:val="393939"/>
                <w:spacing w:val="0"/>
                <w:kern w:val="0"/>
                <w:sz w:val="21"/>
                <w:szCs w:val="21"/>
                <w:u w:val="none"/>
                <w:lang w:val="en-US" w:eastAsia="zh-CN" w:bidi="ar"/>
              </w:rPr>
              <w:t>为维持在制冷</w:t>
            </w:r>
            <w:r>
              <w:rPr>
                <w:rFonts w:hint="eastAsia" w:ascii="Helvetica" w:hAnsi="Helvetica" w:eastAsia="Helvetica" w:cs="Helvetica"/>
                <w:i w:val="0"/>
                <w:caps w:val="0"/>
                <w:color w:val="393939"/>
                <w:spacing w:val="0"/>
                <w:kern w:val="0"/>
                <w:sz w:val="21"/>
                <w:szCs w:val="21"/>
                <w:u w:val="none"/>
                <w:lang w:val="en-US" w:eastAsia="zh-CN" w:bidi="ar"/>
              </w:rPr>
              <w:t>业务</w:t>
            </w:r>
            <w:r>
              <w:rPr>
                <w:rFonts w:hint="default" w:ascii="Helvetica" w:hAnsi="Helvetica" w:eastAsia="Helvetica" w:cs="Helvetica"/>
                <w:i w:val="0"/>
                <w:caps w:val="0"/>
                <w:color w:val="393939"/>
                <w:spacing w:val="0"/>
                <w:kern w:val="0"/>
                <w:sz w:val="21"/>
                <w:szCs w:val="21"/>
                <w:u w:val="none"/>
                <w:lang w:val="en-US" w:eastAsia="zh-CN" w:bidi="ar"/>
              </w:rPr>
              <w:t>领域的竞争力，公司持续对战略产品进行投入，如电子膨胀阀的产品技术在不断迭代，目前公司产品已经到了第四代，第五代正在推出。</w:t>
            </w:r>
          </w:p>
          <w:p>
            <w:pPr>
              <w:spacing w:line="480" w:lineRule="atLeast"/>
              <w:rPr>
                <w:b/>
                <w:szCs w:val="21"/>
              </w:rPr>
            </w:pPr>
            <w:r>
              <w:rPr>
                <w:b/>
                <w:szCs w:val="21"/>
              </w:rPr>
              <w:t>问题</w:t>
            </w:r>
            <w:r>
              <w:rPr>
                <w:rFonts w:hint="eastAsia"/>
                <w:b/>
                <w:szCs w:val="21"/>
                <w:lang w:eastAsia="zh-CN"/>
              </w:rPr>
              <w:t>六</w:t>
            </w:r>
            <w:r>
              <w:rPr>
                <w:b/>
                <w:szCs w:val="21"/>
              </w:rPr>
              <w:t>：</w:t>
            </w:r>
            <w:r>
              <w:rPr>
                <w:rFonts w:hint="eastAsia"/>
                <w:b/>
                <w:szCs w:val="21"/>
              </w:rPr>
              <w:t>公司如何控制原材料涨价对成本的影响？</w:t>
            </w:r>
          </w:p>
          <w:p>
            <w:pPr>
              <w:spacing w:line="480" w:lineRule="atLeast"/>
              <w:rPr>
                <w:rFonts w:hint="eastAsia" w:eastAsia="宋体"/>
                <w:b/>
                <w:bCs/>
                <w:color w:val="000000" w:themeColor="text1"/>
                <w:kern w:val="0"/>
                <w:szCs w:val="21"/>
                <w:lang w:eastAsia="zh-CN"/>
                <w14:textFill>
                  <w14:solidFill>
                    <w14:schemeClr w14:val="tx1"/>
                  </w14:solidFill>
                </w14:textFill>
              </w:rPr>
            </w:pPr>
            <w:r>
              <w:rPr>
                <w:szCs w:val="21"/>
              </w:rPr>
              <w:t>答</w:t>
            </w:r>
            <w:r>
              <w:rPr>
                <w:rFonts w:hint="eastAsia"/>
                <w:szCs w:val="21"/>
              </w:rPr>
              <w:t>：</w:t>
            </w:r>
            <w:r>
              <w:rPr>
                <w:rFonts w:hint="eastAsia"/>
                <w:szCs w:val="21"/>
                <w:lang w:eastAsia="zh-CN"/>
              </w:rPr>
              <w:t>公</w:t>
            </w:r>
            <w:r>
              <w:rPr>
                <w:rFonts w:hint="eastAsia"/>
                <w:szCs w:val="21"/>
              </w:rPr>
              <w:t>司通过采用铜价联动的定价机制及对大宗原材料进行套期保值操作等来规避原材料波动风险</w:t>
            </w:r>
            <w:r>
              <w:rPr>
                <w:rFonts w:hint="eastAsia"/>
                <w:szCs w:val="21"/>
                <w:lang w:eastAsia="zh-CN"/>
              </w:rPr>
              <w:t>。</w:t>
            </w:r>
          </w:p>
          <w:p>
            <w:pPr>
              <w:spacing w:line="360" w:lineRule="auto"/>
              <w:rPr>
                <w:rFonts w:hint="eastAsia" w:cs="Times New Roman"/>
                <w:color w:val="000000" w:themeColor="text1"/>
                <w:kern w:val="0"/>
                <w:szCs w:val="21"/>
                <w:lang w:eastAsia="zh-CN"/>
                <w14:textFill>
                  <w14:solidFill>
                    <w14:schemeClr w14:val="tx1"/>
                  </w14:solidFill>
                </w14:textFill>
              </w:rPr>
            </w:pPr>
          </w:p>
        </w:tc>
      </w:tr>
      <w:tr>
        <w:tblPrEx>
          <w:tblLayout w:type="fixed"/>
          <w:tblCellMar>
            <w:top w:w="0" w:type="dxa"/>
            <w:left w:w="10" w:type="dxa"/>
            <w:bottom w:w="0" w:type="dxa"/>
            <w:right w:w="10" w:type="dxa"/>
          </w:tblCellMar>
        </w:tblPrEx>
        <w:trPr>
          <w:trHeight w:val="845" w:hRule="atLeast"/>
          <w:jc w:val="center"/>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80" w:lineRule="atLeast"/>
              <w:rPr>
                <w:rFonts w:ascii="Times New Roman" w:hAnsi="Times New Roman"/>
                <w:b/>
                <w:bCs/>
                <w:iCs/>
                <w:sz w:val="24"/>
              </w:rPr>
            </w:pPr>
            <w:r>
              <w:rPr>
                <w:rFonts w:hint="default" w:ascii="Times New Roman" w:hAnsi="Times New Roman"/>
                <w:b/>
                <w:bCs/>
                <w:iCs/>
                <w:sz w:val="24"/>
              </w:rPr>
              <w:t>附件清单</w:t>
            </w:r>
          </w:p>
          <w:p>
            <w:pPr>
              <w:spacing w:line="480" w:lineRule="atLeast"/>
              <w:rPr>
                <w:rFonts w:ascii="Times New Roman" w:hAnsi="Times New Roman"/>
                <w:b/>
                <w:bCs/>
                <w:iCs/>
                <w:sz w:val="24"/>
              </w:rPr>
            </w:pPr>
            <w:r>
              <w:rPr>
                <w:rFonts w:hint="default" w:ascii="Times New Roman" w:hAnsi="Times New Roman"/>
                <w:b/>
                <w:bCs/>
                <w:iCs/>
                <w:sz w:val="24"/>
              </w:rPr>
              <w:t>（如有）</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240" w:line="480" w:lineRule="atLeast"/>
              <w:rPr>
                <w:rFonts w:ascii="Times New Roman" w:hAnsi="Times New Roman" w:cs="Times New Roman"/>
                <w:szCs w:val="21"/>
              </w:rPr>
            </w:pPr>
            <w:r>
              <w:rPr>
                <w:rFonts w:hint="default" w:ascii="Times New Roman" w:hAnsi="Times New Roman"/>
                <w:bCs/>
                <w:iCs/>
                <w:szCs w:val="21"/>
              </w:rPr>
              <w:t>无</w:t>
            </w:r>
          </w:p>
        </w:tc>
      </w:tr>
      <w:tr>
        <w:tblPrEx>
          <w:tblLayout w:type="fixed"/>
          <w:tblCellMar>
            <w:top w:w="0" w:type="dxa"/>
            <w:left w:w="10" w:type="dxa"/>
            <w:bottom w:w="0" w:type="dxa"/>
            <w:right w:w="10" w:type="dxa"/>
          </w:tblCellMar>
        </w:tblPrEx>
        <w:trPr>
          <w:trHeight w:val="510" w:hRule="atLeast"/>
          <w:jc w:val="center"/>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
                <w:bCs/>
                <w:iCs/>
                <w:sz w:val="24"/>
              </w:rPr>
            </w:pPr>
            <w:r>
              <w:rPr>
                <w:rFonts w:hint="default" w:ascii="Times New Roman" w:hAnsi="Times New Roman"/>
                <w:b/>
                <w:bCs/>
                <w:iCs/>
                <w:sz w:val="24"/>
              </w:rPr>
              <w:t>日期</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453"/>
              </w:tabs>
              <w:rPr>
                <w:rFonts w:ascii="Times New Roman" w:hAnsi="Times New Roman" w:cs="Times New Roman"/>
                <w:szCs w:val="21"/>
              </w:rPr>
            </w:pPr>
            <w:r>
              <w:rPr>
                <w:rFonts w:hint="default" w:cs="Times New Roman"/>
                <w:szCs w:val="21"/>
              </w:rPr>
              <w:t>201</w:t>
            </w:r>
            <w:r>
              <w:rPr>
                <w:rFonts w:hint="eastAsia" w:cs="Times New Roman"/>
                <w:szCs w:val="21"/>
                <w:lang w:val="en-US" w:eastAsia="zh-CN"/>
              </w:rPr>
              <w:t>9</w:t>
            </w:r>
            <w:r>
              <w:rPr>
                <w:rFonts w:hint="default" w:cs="Times New Roman"/>
                <w:szCs w:val="21"/>
              </w:rPr>
              <w:t>年</w:t>
            </w:r>
            <w:r>
              <w:rPr>
                <w:rFonts w:hint="eastAsia" w:cs="Times New Roman"/>
                <w:szCs w:val="21"/>
                <w:lang w:val="en-US" w:eastAsia="zh-CN"/>
              </w:rPr>
              <w:t>4月25日</w:t>
            </w:r>
          </w:p>
        </w:tc>
      </w:tr>
    </w:tbl>
    <w:p>
      <w:pPr>
        <w:rPr>
          <w:rFonts w:cs="Times New Roman"/>
          <w:sz w:val="23"/>
          <w:szCs w:val="21"/>
        </w:rPr>
      </w:pPr>
    </w:p>
    <w:sectPr>
      <w:endnotePr>
        <w:numFmt w:val="decimal"/>
      </w:endnotePr>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doNotCompress"/>
  <w:endnotePr>
    <w:numFmt w:val="decimal"/>
  </w:end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04"/>
    <w:rsid w:val="000009B5"/>
    <w:rsid w:val="00000CBD"/>
    <w:rsid w:val="00020946"/>
    <w:rsid w:val="0002557B"/>
    <w:rsid w:val="00043A35"/>
    <w:rsid w:val="000524BF"/>
    <w:rsid w:val="00055EEA"/>
    <w:rsid w:val="000573F9"/>
    <w:rsid w:val="00094B8D"/>
    <w:rsid w:val="000A5600"/>
    <w:rsid w:val="000C7B98"/>
    <w:rsid w:val="000F2AB0"/>
    <w:rsid w:val="000F31E6"/>
    <w:rsid w:val="001139E6"/>
    <w:rsid w:val="00117CB6"/>
    <w:rsid w:val="001335A2"/>
    <w:rsid w:val="00175A9D"/>
    <w:rsid w:val="001965C9"/>
    <w:rsid w:val="00197CAC"/>
    <w:rsid w:val="001A4F2C"/>
    <w:rsid w:val="001A6C2A"/>
    <w:rsid w:val="001B6178"/>
    <w:rsid w:val="001D69B6"/>
    <w:rsid w:val="001F3CB1"/>
    <w:rsid w:val="00211DD6"/>
    <w:rsid w:val="002211A3"/>
    <w:rsid w:val="00221DE5"/>
    <w:rsid w:val="00225CD5"/>
    <w:rsid w:val="00240D28"/>
    <w:rsid w:val="002418B0"/>
    <w:rsid w:val="00246448"/>
    <w:rsid w:val="00256215"/>
    <w:rsid w:val="002611C3"/>
    <w:rsid w:val="002843D2"/>
    <w:rsid w:val="00294900"/>
    <w:rsid w:val="00297C0A"/>
    <w:rsid w:val="002A7656"/>
    <w:rsid w:val="002C55E5"/>
    <w:rsid w:val="002D2DB4"/>
    <w:rsid w:val="002D5204"/>
    <w:rsid w:val="002E65DF"/>
    <w:rsid w:val="002E69B6"/>
    <w:rsid w:val="002F0231"/>
    <w:rsid w:val="003047E8"/>
    <w:rsid w:val="00305194"/>
    <w:rsid w:val="0031237C"/>
    <w:rsid w:val="00316C7B"/>
    <w:rsid w:val="0032116C"/>
    <w:rsid w:val="003278F8"/>
    <w:rsid w:val="00342464"/>
    <w:rsid w:val="00346A48"/>
    <w:rsid w:val="00366091"/>
    <w:rsid w:val="00377489"/>
    <w:rsid w:val="0039260D"/>
    <w:rsid w:val="00393B21"/>
    <w:rsid w:val="003A4F7B"/>
    <w:rsid w:val="00415AB8"/>
    <w:rsid w:val="00443A07"/>
    <w:rsid w:val="004532A2"/>
    <w:rsid w:val="00457E0B"/>
    <w:rsid w:val="00460F88"/>
    <w:rsid w:val="00472EA2"/>
    <w:rsid w:val="0048182D"/>
    <w:rsid w:val="00484671"/>
    <w:rsid w:val="00486AB8"/>
    <w:rsid w:val="004901C0"/>
    <w:rsid w:val="004A2589"/>
    <w:rsid w:val="004A2E6A"/>
    <w:rsid w:val="004B2BC5"/>
    <w:rsid w:val="004B5AAB"/>
    <w:rsid w:val="004C3FEF"/>
    <w:rsid w:val="004D260A"/>
    <w:rsid w:val="004D6A79"/>
    <w:rsid w:val="00501F53"/>
    <w:rsid w:val="005065B1"/>
    <w:rsid w:val="00522185"/>
    <w:rsid w:val="00522898"/>
    <w:rsid w:val="005403EA"/>
    <w:rsid w:val="005470A8"/>
    <w:rsid w:val="005553C6"/>
    <w:rsid w:val="005752CE"/>
    <w:rsid w:val="0058196A"/>
    <w:rsid w:val="005E0E0C"/>
    <w:rsid w:val="005E17EA"/>
    <w:rsid w:val="005E5E9E"/>
    <w:rsid w:val="005E783F"/>
    <w:rsid w:val="0060656B"/>
    <w:rsid w:val="0063648E"/>
    <w:rsid w:val="00645AA3"/>
    <w:rsid w:val="0066040C"/>
    <w:rsid w:val="00664392"/>
    <w:rsid w:val="00667FDE"/>
    <w:rsid w:val="00674D61"/>
    <w:rsid w:val="00694AB1"/>
    <w:rsid w:val="006C2C35"/>
    <w:rsid w:val="006D27D3"/>
    <w:rsid w:val="006E1CD7"/>
    <w:rsid w:val="006F3026"/>
    <w:rsid w:val="006F333E"/>
    <w:rsid w:val="007744E6"/>
    <w:rsid w:val="00793512"/>
    <w:rsid w:val="007A2604"/>
    <w:rsid w:val="007B2F1F"/>
    <w:rsid w:val="007C2826"/>
    <w:rsid w:val="007E7B39"/>
    <w:rsid w:val="008025A9"/>
    <w:rsid w:val="00805CCB"/>
    <w:rsid w:val="00814B9E"/>
    <w:rsid w:val="008238A4"/>
    <w:rsid w:val="00825DA9"/>
    <w:rsid w:val="00834366"/>
    <w:rsid w:val="00836AA2"/>
    <w:rsid w:val="00843456"/>
    <w:rsid w:val="008619D3"/>
    <w:rsid w:val="00880DDF"/>
    <w:rsid w:val="00882817"/>
    <w:rsid w:val="00893A63"/>
    <w:rsid w:val="008B38B5"/>
    <w:rsid w:val="008E265D"/>
    <w:rsid w:val="00905A80"/>
    <w:rsid w:val="0090708A"/>
    <w:rsid w:val="009103D5"/>
    <w:rsid w:val="00926354"/>
    <w:rsid w:val="009915CD"/>
    <w:rsid w:val="00992B99"/>
    <w:rsid w:val="009A0399"/>
    <w:rsid w:val="009C4501"/>
    <w:rsid w:val="009D58FE"/>
    <w:rsid w:val="009E77DC"/>
    <w:rsid w:val="009F1B4F"/>
    <w:rsid w:val="00A0264C"/>
    <w:rsid w:val="00A02CA1"/>
    <w:rsid w:val="00A07E79"/>
    <w:rsid w:val="00A15408"/>
    <w:rsid w:val="00A15533"/>
    <w:rsid w:val="00A319A7"/>
    <w:rsid w:val="00A34373"/>
    <w:rsid w:val="00A428A9"/>
    <w:rsid w:val="00A618B0"/>
    <w:rsid w:val="00A710AB"/>
    <w:rsid w:val="00A7358F"/>
    <w:rsid w:val="00A76DA8"/>
    <w:rsid w:val="00A806C1"/>
    <w:rsid w:val="00A81CC4"/>
    <w:rsid w:val="00A86D9F"/>
    <w:rsid w:val="00A91B4E"/>
    <w:rsid w:val="00AA44BB"/>
    <w:rsid w:val="00AA5DF3"/>
    <w:rsid w:val="00AC54B1"/>
    <w:rsid w:val="00AD6BFE"/>
    <w:rsid w:val="00AE0AB4"/>
    <w:rsid w:val="00AE216E"/>
    <w:rsid w:val="00AF0DCE"/>
    <w:rsid w:val="00B10A72"/>
    <w:rsid w:val="00B12391"/>
    <w:rsid w:val="00B202B6"/>
    <w:rsid w:val="00B20D79"/>
    <w:rsid w:val="00B46375"/>
    <w:rsid w:val="00B46EB0"/>
    <w:rsid w:val="00B6410F"/>
    <w:rsid w:val="00B64F0B"/>
    <w:rsid w:val="00B66693"/>
    <w:rsid w:val="00B74561"/>
    <w:rsid w:val="00B82CF7"/>
    <w:rsid w:val="00B96175"/>
    <w:rsid w:val="00BA3554"/>
    <w:rsid w:val="00BE2922"/>
    <w:rsid w:val="00C3061E"/>
    <w:rsid w:val="00C46433"/>
    <w:rsid w:val="00C523F1"/>
    <w:rsid w:val="00C63C55"/>
    <w:rsid w:val="00CA6260"/>
    <w:rsid w:val="00CF1307"/>
    <w:rsid w:val="00CF6D9C"/>
    <w:rsid w:val="00D027CF"/>
    <w:rsid w:val="00D212FC"/>
    <w:rsid w:val="00D232A1"/>
    <w:rsid w:val="00D34A0A"/>
    <w:rsid w:val="00D547E0"/>
    <w:rsid w:val="00D717AE"/>
    <w:rsid w:val="00D80ABC"/>
    <w:rsid w:val="00DA19ED"/>
    <w:rsid w:val="00DA4626"/>
    <w:rsid w:val="00DB50F9"/>
    <w:rsid w:val="00DD0A37"/>
    <w:rsid w:val="00DD6221"/>
    <w:rsid w:val="00DE6245"/>
    <w:rsid w:val="00DF11AD"/>
    <w:rsid w:val="00DF47E0"/>
    <w:rsid w:val="00E0502A"/>
    <w:rsid w:val="00E50A84"/>
    <w:rsid w:val="00E60519"/>
    <w:rsid w:val="00E61DD7"/>
    <w:rsid w:val="00E71EA5"/>
    <w:rsid w:val="00E83A62"/>
    <w:rsid w:val="00EC517C"/>
    <w:rsid w:val="00F13F38"/>
    <w:rsid w:val="00F26E54"/>
    <w:rsid w:val="00F30FCE"/>
    <w:rsid w:val="00F41BDE"/>
    <w:rsid w:val="00F420E6"/>
    <w:rsid w:val="00F57AD2"/>
    <w:rsid w:val="00F7398B"/>
    <w:rsid w:val="00F83333"/>
    <w:rsid w:val="00F920D5"/>
    <w:rsid w:val="00FB34E3"/>
    <w:rsid w:val="00FB4E79"/>
    <w:rsid w:val="00FC2789"/>
    <w:rsid w:val="00FD41EE"/>
    <w:rsid w:val="00FE14DE"/>
    <w:rsid w:val="01D82B1E"/>
    <w:rsid w:val="021877AF"/>
    <w:rsid w:val="038C616D"/>
    <w:rsid w:val="051212BD"/>
    <w:rsid w:val="0594295F"/>
    <w:rsid w:val="059A0EFA"/>
    <w:rsid w:val="05FD2BBE"/>
    <w:rsid w:val="061F0736"/>
    <w:rsid w:val="06D84E14"/>
    <w:rsid w:val="092C6F2D"/>
    <w:rsid w:val="0C5C247A"/>
    <w:rsid w:val="0D10267C"/>
    <w:rsid w:val="0DD90265"/>
    <w:rsid w:val="0E3C1C58"/>
    <w:rsid w:val="109E33B9"/>
    <w:rsid w:val="10B772E7"/>
    <w:rsid w:val="1138409E"/>
    <w:rsid w:val="11A77DBF"/>
    <w:rsid w:val="14180674"/>
    <w:rsid w:val="17A03077"/>
    <w:rsid w:val="17A8245C"/>
    <w:rsid w:val="19ED58B8"/>
    <w:rsid w:val="1A0239D5"/>
    <w:rsid w:val="1B311821"/>
    <w:rsid w:val="1C396E2E"/>
    <w:rsid w:val="1CC14FF4"/>
    <w:rsid w:val="1DB774CD"/>
    <w:rsid w:val="1DC519BC"/>
    <w:rsid w:val="1E457D4F"/>
    <w:rsid w:val="204E10E4"/>
    <w:rsid w:val="20A0158D"/>
    <w:rsid w:val="21B25180"/>
    <w:rsid w:val="21FE3D48"/>
    <w:rsid w:val="25591B09"/>
    <w:rsid w:val="25DA3F73"/>
    <w:rsid w:val="288E4854"/>
    <w:rsid w:val="2A647215"/>
    <w:rsid w:val="2ACF4CE2"/>
    <w:rsid w:val="2B504DBF"/>
    <w:rsid w:val="2B927A8A"/>
    <w:rsid w:val="2BEA45B4"/>
    <w:rsid w:val="2CE80B8A"/>
    <w:rsid w:val="2D1B6498"/>
    <w:rsid w:val="2DB81DB3"/>
    <w:rsid w:val="2F330ED0"/>
    <w:rsid w:val="3080087A"/>
    <w:rsid w:val="30D40128"/>
    <w:rsid w:val="31066F21"/>
    <w:rsid w:val="3187761A"/>
    <w:rsid w:val="31CC561D"/>
    <w:rsid w:val="326D7BF3"/>
    <w:rsid w:val="3273693B"/>
    <w:rsid w:val="32811CDB"/>
    <w:rsid w:val="33DF58D0"/>
    <w:rsid w:val="340442B0"/>
    <w:rsid w:val="36D43822"/>
    <w:rsid w:val="38D8751A"/>
    <w:rsid w:val="39524B49"/>
    <w:rsid w:val="3B91634C"/>
    <w:rsid w:val="3BCA1C1F"/>
    <w:rsid w:val="3C7F73C3"/>
    <w:rsid w:val="3D0C2400"/>
    <w:rsid w:val="3DBA6F7A"/>
    <w:rsid w:val="400C72BC"/>
    <w:rsid w:val="427F208B"/>
    <w:rsid w:val="42AF7463"/>
    <w:rsid w:val="42EA6575"/>
    <w:rsid w:val="44525868"/>
    <w:rsid w:val="44A84208"/>
    <w:rsid w:val="45AE2B38"/>
    <w:rsid w:val="4A7E303F"/>
    <w:rsid w:val="4AFA58A0"/>
    <w:rsid w:val="4C945CE2"/>
    <w:rsid w:val="4D7801B0"/>
    <w:rsid w:val="4DAC5861"/>
    <w:rsid w:val="4FB50071"/>
    <w:rsid w:val="50D46AA6"/>
    <w:rsid w:val="51AD2077"/>
    <w:rsid w:val="53277C2A"/>
    <w:rsid w:val="55746580"/>
    <w:rsid w:val="57351D19"/>
    <w:rsid w:val="57592586"/>
    <w:rsid w:val="576420D7"/>
    <w:rsid w:val="57686480"/>
    <w:rsid w:val="58A67636"/>
    <w:rsid w:val="5909311E"/>
    <w:rsid w:val="5BEC1F1E"/>
    <w:rsid w:val="5C451058"/>
    <w:rsid w:val="5CDA446A"/>
    <w:rsid w:val="5CF36005"/>
    <w:rsid w:val="5F037D73"/>
    <w:rsid w:val="5F7A39AB"/>
    <w:rsid w:val="602B45E8"/>
    <w:rsid w:val="60D30195"/>
    <w:rsid w:val="61956F82"/>
    <w:rsid w:val="6241067E"/>
    <w:rsid w:val="62E61593"/>
    <w:rsid w:val="639B7820"/>
    <w:rsid w:val="64480FBE"/>
    <w:rsid w:val="64C8354E"/>
    <w:rsid w:val="680D4B09"/>
    <w:rsid w:val="694F2F88"/>
    <w:rsid w:val="69572D98"/>
    <w:rsid w:val="695D7E3C"/>
    <w:rsid w:val="6A7E1A8D"/>
    <w:rsid w:val="6AAF5D96"/>
    <w:rsid w:val="6C1B28AF"/>
    <w:rsid w:val="6CA54261"/>
    <w:rsid w:val="6F023D5C"/>
    <w:rsid w:val="6F7B257C"/>
    <w:rsid w:val="71E84EA3"/>
    <w:rsid w:val="74204729"/>
    <w:rsid w:val="74580255"/>
    <w:rsid w:val="748970D5"/>
    <w:rsid w:val="75A97E44"/>
    <w:rsid w:val="7C4201A4"/>
    <w:rsid w:val="7D6D798E"/>
    <w:rsid w:val="7EB24B1E"/>
    <w:rsid w:val="7F2764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9"/>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6"/>
    <w:qFormat/>
    <w:uiPriority w:val="0"/>
    <w:pPr>
      <w:widowControl/>
      <w:tabs>
        <w:tab w:val="center" w:pos="4153"/>
        <w:tab w:val="right" w:pos="8306"/>
      </w:tabs>
      <w:jc w:val="left"/>
    </w:pPr>
    <w:rPr>
      <w:rFonts w:ascii="宋体" w:hAnsi="宋体" w:cs="宋体"/>
      <w:sz w:val="24"/>
    </w:rPr>
  </w:style>
  <w:style w:type="paragraph" w:customStyle="1" w:styleId="6">
    <w:name w:val="Header"/>
    <w:basedOn w:val="7"/>
    <w:qFormat/>
    <w:uiPriority w:val="0"/>
    <w:pPr>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style>
  <w:style w:type="paragraph" w:customStyle="1" w:styleId="7">
    <w:name w:val="Footer"/>
    <w:basedOn w:val="1"/>
    <w:qFormat/>
    <w:uiPriority w:val="0"/>
    <w:pPr>
      <w:tabs>
        <w:tab w:val="center" w:pos="4153"/>
        <w:tab w:val="right" w:pos="8306"/>
      </w:tabs>
      <w:jc w:val="left"/>
    </w:pPr>
    <w:rPr>
      <w:rFonts w:ascii="Calibri" w:hAnsi="Calibri" w:eastAsia="Calibri"/>
      <w:sz w:val="18"/>
      <w:szCs w:val="18"/>
    </w:rPr>
  </w:style>
  <w:style w:type="character" w:styleId="10">
    <w:name w:val="Hyperlink"/>
    <w:basedOn w:val="9"/>
    <w:unhideWhenUsed/>
    <w:qFormat/>
    <w:uiPriority w:val="99"/>
    <w:rPr>
      <w:color w:val="0000FF"/>
      <w:u w:val="single"/>
    </w:rPr>
  </w:style>
  <w:style w:type="paragraph" w:customStyle="1" w:styleId="11">
    <w:name w:val="列出段落1"/>
    <w:basedOn w:val="6"/>
    <w:qFormat/>
    <w:uiPriority w:val="0"/>
    <w:pPr>
      <w:ind w:firstLine="420"/>
    </w:pPr>
  </w:style>
  <w:style w:type="paragraph" w:customStyle="1" w:styleId="12">
    <w:name w:val="Default"/>
    <w:qFormat/>
    <w:uiPriority w:val="0"/>
    <w:pPr>
      <w:widowControl w:val="0"/>
    </w:pPr>
    <w:rPr>
      <w:rFonts w:hint="eastAsia" w:ascii="宋体" w:hAnsi="宋体" w:eastAsia="宋体" w:cs="Times New Roman"/>
      <w:sz w:val="24"/>
      <w:lang w:val="en-US" w:eastAsia="zh-CN" w:bidi="ar-SA"/>
    </w:rPr>
  </w:style>
  <w:style w:type="character" w:customStyle="1" w:styleId="13">
    <w:name w:val="页眉 Char"/>
    <w:basedOn w:val="9"/>
    <w:qFormat/>
    <w:uiPriority w:val="0"/>
    <w:rPr>
      <w:sz w:val="18"/>
      <w:szCs w:val="18"/>
    </w:rPr>
  </w:style>
  <w:style w:type="character" w:customStyle="1" w:styleId="14">
    <w:name w:val="页脚 Char"/>
    <w:basedOn w:val="9"/>
    <w:qFormat/>
    <w:uiPriority w:val="0"/>
    <w:rPr>
      <w:sz w:val="18"/>
      <w:szCs w:val="18"/>
    </w:rPr>
  </w:style>
  <w:style w:type="character" w:customStyle="1" w:styleId="15">
    <w:name w:val="普通文字 Char Char1"/>
    <w:basedOn w:val="9"/>
    <w:qFormat/>
    <w:uiPriority w:val="0"/>
    <w:rPr>
      <w:rFonts w:ascii="Courier New" w:hAnsi="Courier New" w:eastAsia="宋体"/>
      <w:sz w:val="21"/>
      <w:lang w:val="en-US" w:eastAsia="zh-CN" w:bidi="ar-SA"/>
    </w:rPr>
  </w:style>
  <w:style w:type="character" w:customStyle="1" w:styleId="16">
    <w:name w:val="apple-converted-space"/>
    <w:basedOn w:val="9"/>
    <w:qFormat/>
    <w:uiPriority w:val="0"/>
  </w:style>
  <w:style w:type="character" w:customStyle="1" w:styleId="17">
    <w:name w:val="页眉 Char1"/>
    <w:basedOn w:val="9"/>
    <w:link w:val="4"/>
    <w:semiHidden/>
    <w:qFormat/>
    <w:uiPriority w:val="99"/>
    <w:rPr>
      <w:sz w:val="18"/>
      <w:szCs w:val="18"/>
    </w:rPr>
  </w:style>
  <w:style w:type="character" w:customStyle="1" w:styleId="18">
    <w:name w:val="页脚 Char1"/>
    <w:basedOn w:val="9"/>
    <w:link w:val="3"/>
    <w:semiHidden/>
    <w:qFormat/>
    <w:uiPriority w:val="99"/>
    <w:rPr>
      <w:sz w:val="18"/>
      <w:szCs w:val="18"/>
    </w:rPr>
  </w:style>
  <w:style w:type="character" w:customStyle="1" w:styleId="19">
    <w:name w:val="批注框文本 Char"/>
    <w:basedOn w:val="9"/>
    <w:link w:val="2"/>
    <w:semiHidden/>
    <w:qFormat/>
    <w:uiPriority w:val="99"/>
    <w:rPr>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195</Words>
  <Characters>1114</Characters>
  <Lines>9</Lines>
  <Paragraphs>2</Paragraphs>
  <TotalTime>22</TotalTime>
  <ScaleCrop>false</ScaleCrop>
  <LinksUpToDate>false</LinksUpToDate>
  <CharactersWithSpaces>1307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2015-04-08T08:21:00Z</dcterms:created>
  <dc:creator>Lenovo User</dc:creator>
  <cp:lastModifiedBy>魅、</cp:lastModifiedBy>
  <cp:lastPrinted>2018-05-23T07:44:00Z</cp:lastPrinted>
  <dcterms:modified xsi:type="dcterms:W3CDTF">2019-04-26T09:18:14Z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