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76730" w14:textId="77777777" w:rsidR="00D50434" w:rsidRPr="00F7661A" w:rsidRDefault="00D50434" w:rsidP="00CC0D72">
      <w:pPr>
        <w:autoSpaceDE w:val="0"/>
        <w:autoSpaceDN w:val="0"/>
        <w:adjustRightInd w:val="0"/>
        <w:spacing w:line="360" w:lineRule="auto"/>
        <w:jc w:val="center"/>
        <w:rPr>
          <w:rFonts w:ascii="宋体"/>
          <w:bCs/>
          <w:iCs/>
          <w:sz w:val="24"/>
        </w:rPr>
      </w:pPr>
      <w:r w:rsidRPr="00F7661A">
        <w:rPr>
          <w:rFonts w:ascii="宋体" w:hAnsi="宋体" w:hint="eastAsia"/>
          <w:bCs/>
          <w:iCs/>
          <w:sz w:val="24"/>
        </w:rPr>
        <w:t>证券代码：</w:t>
      </w:r>
      <w:r>
        <w:rPr>
          <w:rFonts w:ascii="宋体" w:hAnsi="宋体"/>
          <w:bCs/>
          <w:iCs/>
          <w:sz w:val="24"/>
        </w:rPr>
        <w:t>002506</w:t>
      </w:r>
      <w:r w:rsidRPr="00F7661A">
        <w:rPr>
          <w:rFonts w:ascii="宋体" w:hAnsi="宋体"/>
          <w:bCs/>
          <w:iCs/>
          <w:sz w:val="24"/>
        </w:rPr>
        <w:t xml:space="preserve">                      </w:t>
      </w:r>
      <w:r w:rsidRPr="00F7661A">
        <w:rPr>
          <w:rFonts w:ascii="宋体" w:hAnsi="宋体" w:hint="eastAsia"/>
          <w:bCs/>
          <w:iCs/>
          <w:sz w:val="24"/>
        </w:rPr>
        <w:t>证券简称：</w:t>
      </w:r>
      <w:r w:rsidR="00E9470B">
        <w:rPr>
          <w:rFonts w:ascii="宋体" w:hAnsi="宋体" w:hint="eastAsia"/>
          <w:bCs/>
          <w:iCs/>
          <w:sz w:val="24"/>
        </w:rPr>
        <w:t>协</w:t>
      </w:r>
      <w:proofErr w:type="gramStart"/>
      <w:r w:rsidR="00E9470B">
        <w:rPr>
          <w:rFonts w:ascii="宋体" w:hAnsi="宋体" w:hint="eastAsia"/>
          <w:bCs/>
          <w:iCs/>
          <w:sz w:val="24"/>
        </w:rPr>
        <w:t>鑫</w:t>
      </w:r>
      <w:proofErr w:type="gramEnd"/>
      <w:r w:rsidR="00E9470B">
        <w:rPr>
          <w:rFonts w:ascii="宋体" w:hAnsi="宋体"/>
          <w:bCs/>
          <w:iCs/>
          <w:sz w:val="24"/>
        </w:rPr>
        <w:t>集成</w:t>
      </w:r>
    </w:p>
    <w:p w14:paraId="12DE8484" w14:textId="77777777" w:rsidR="00D50434" w:rsidRPr="00F7661A" w:rsidRDefault="00D50434" w:rsidP="00BE7501">
      <w:pPr>
        <w:spacing w:beforeLines="50" w:before="156" w:afterLines="50" w:after="156" w:line="400" w:lineRule="exact"/>
        <w:ind w:firstLineChars="300" w:firstLine="720"/>
        <w:rPr>
          <w:rFonts w:ascii="宋体"/>
          <w:bCs/>
          <w:iCs/>
          <w:sz w:val="24"/>
        </w:rPr>
      </w:pPr>
    </w:p>
    <w:p w14:paraId="7D8E7AF7" w14:textId="77777777" w:rsidR="00D50434" w:rsidRPr="00F7661A" w:rsidRDefault="00D50434" w:rsidP="00BE7501">
      <w:pPr>
        <w:spacing w:beforeLines="50" w:before="156" w:afterLines="50" w:after="156" w:line="400" w:lineRule="exact"/>
        <w:jc w:val="center"/>
        <w:outlineLvl w:val="0"/>
        <w:rPr>
          <w:rFonts w:ascii="宋体"/>
          <w:b/>
          <w:bCs/>
          <w:iCs/>
          <w:sz w:val="24"/>
          <w:szCs w:val="24"/>
        </w:rPr>
      </w:pPr>
      <w:r>
        <w:rPr>
          <w:rFonts w:ascii="宋体" w:hAnsi="宋体" w:hint="eastAsia"/>
          <w:b/>
          <w:bCs/>
          <w:iCs/>
          <w:sz w:val="24"/>
          <w:szCs w:val="24"/>
        </w:rPr>
        <w:t>协</w:t>
      </w:r>
      <w:proofErr w:type="gramStart"/>
      <w:r>
        <w:rPr>
          <w:rFonts w:ascii="宋体" w:hAnsi="宋体" w:hint="eastAsia"/>
          <w:b/>
          <w:bCs/>
          <w:iCs/>
          <w:sz w:val="24"/>
          <w:szCs w:val="24"/>
        </w:rPr>
        <w:t>鑫</w:t>
      </w:r>
      <w:proofErr w:type="gramEnd"/>
      <w:r>
        <w:rPr>
          <w:rFonts w:ascii="宋体" w:hAnsi="宋体" w:hint="eastAsia"/>
          <w:b/>
          <w:bCs/>
          <w:iCs/>
          <w:sz w:val="24"/>
          <w:szCs w:val="24"/>
        </w:rPr>
        <w:t>集成科技</w:t>
      </w:r>
      <w:r w:rsidRPr="00F7661A">
        <w:rPr>
          <w:rFonts w:ascii="宋体" w:hAnsi="宋体" w:hint="eastAsia"/>
          <w:b/>
          <w:bCs/>
          <w:iCs/>
          <w:sz w:val="24"/>
          <w:szCs w:val="24"/>
        </w:rPr>
        <w:t>股份有限公司投资者关系活动记录表</w:t>
      </w:r>
    </w:p>
    <w:p w14:paraId="5E104CB7" w14:textId="3A431A94" w:rsidR="00D50434" w:rsidRPr="00F7661A" w:rsidRDefault="00D50434" w:rsidP="00DA0D62">
      <w:pPr>
        <w:spacing w:line="400" w:lineRule="exact"/>
        <w:rPr>
          <w:rFonts w:ascii="宋体"/>
          <w:bCs/>
          <w:iCs/>
          <w:sz w:val="24"/>
          <w:szCs w:val="24"/>
        </w:rPr>
      </w:pPr>
      <w:r w:rsidRPr="00F7661A">
        <w:rPr>
          <w:rFonts w:ascii="宋体" w:hAnsi="宋体"/>
          <w:bCs/>
          <w:iCs/>
          <w:sz w:val="24"/>
          <w:szCs w:val="24"/>
        </w:rPr>
        <w:t xml:space="preserve">                                                      </w:t>
      </w:r>
      <w:r w:rsidRPr="00F7661A">
        <w:rPr>
          <w:rFonts w:ascii="宋体" w:hAnsi="宋体" w:hint="eastAsia"/>
          <w:bCs/>
          <w:iCs/>
          <w:sz w:val="24"/>
          <w:szCs w:val="24"/>
        </w:rPr>
        <w:t>编号：</w:t>
      </w:r>
      <w:r w:rsidR="00BE7501">
        <w:rPr>
          <w:rFonts w:ascii="宋体" w:hAnsi="宋体" w:hint="eastAsia"/>
          <w:bCs/>
          <w:iCs/>
          <w:sz w:val="24"/>
          <w:szCs w:val="24"/>
        </w:rPr>
        <w:t>201</w:t>
      </w:r>
      <w:r w:rsidR="00FA6E13">
        <w:rPr>
          <w:rFonts w:ascii="宋体" w:hAnsi="宋体"/>
          <w:bCs/>
          <w:iCs/>
          <w:sz w:val="24"/>
          <w:szCs w:val="24"/>
        </w:rPr>
        <w:t>9</w:t>
      </w:r>
      <w:r w:rsidR="006921C8">
        <w:rPr>
          <w:rFonts w:ascii="宋体" w:hAnsi="宋体"/>
          <w:bCs/>
          <w:iCs/>
          <w:sz w:val="24"/>
          <w:szCs w:val="24"/>
        </w:rPr>
        <w:t>-0</w:t>
      </w:r>
      <w:r w:rsidR="0077209D">
        <w:rPr>
          <w:rFonts w:ascii="宋体" w:hAnsi="宋体"/>
          <w:bCs/>
          <w:iCs/>
          <w:sz w:val="24"/>
          <w:szCs w:val="24"/>
        </w:rPr>
        <w:t>0</w:t>
      </w:r>
      <w:r w:rsidR="00192CF6">
        <w:rPr>
          <w:rFonts w:ascii="宋体" w:hAnsi="宋体"/>
          <w:bCs/>
          <w:iCs/>
          <w:sz w:val="24"/>
          <w:szCs w:val="24"/>
        </w:rPr>
        <w:t>5</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7364"/>
      </w:tblGrid>
      <w:tr w:rsidR="00EB7CC6" w:rsidRPr="00F7661A" w14:paraId="698D787D" w14:textId="77777777" w:rsidTr="00EB7CC6">
        <w:tc>
          <w:tcPr>
            <w:tcW w:w="1249" w:type="dxa"/>
          </w:tcPr>
          <w:p w14:paraId="325BF368" w14:textId="77777777" w:rsidR="00EB7CC6" w:rsidRPr="00F7661A" w:rsidRDefault="00EB7CC6" w:rsidP="00DE3F27">
            <w:pPr>
              <w:spacing w:line="480" w:lineRule="atLeast"/>
              <w:rPr>
                <w:rFonts w:ascii="宋体"/>
                <w:b/>
                <w:bCs/>
                <w:iCs/>
                <w:sz w:val="24"/>
                <w:szCs w:val="24"/>
              </w:rPr>
            </w:pPr>
            <w:r w:rsidRPr="00F7661A">
              <w:rPr>
                <w:rFonts w:ascii="宋体" w:hAnsi="宋体" w:hint="eastAsia"/>
                <w:b/>
                <w:bCs/>
                <w:iCs/>
                <w:sz w:val="24"/>
                <w:szCs w:val="24"/>
              </w:rPr>
              <w:t>投资者关系活动类别</w:t>
            </w:r>
          </w:p>
          <w:p w14:paraId="0C9597FA" w14:textId="77777777" w:rsidR="00EB7CC6" w:rsidRPr="00F7661A" w:rsidRDefault="00EB7CC6" w:rsidP="00DE3F27">
            <w:pPr>
              <w:spacing w:line="480" w:lineRule="atLeast"/>
              <w:rPr>
                <w:rFonts w:ascii="宋体"/>
                <w:b/>
                <w:bCs/>
                <w:iCs/>
                <w:sz w:val="24"/>
                <w:szCs w:val="24"/>
              </w:rPr>
            </w:pPr>
          </w:p>
        </w:tc>
        <w:tc>
          <w:tcPr>
            <w:tcW w:w="7364" w:type="dxa"/>
          </w:tcPr>
          <w:p w14:paraId="61F41853" w14:textId="5F968A5F" w:rsidR="00EB7CC6" w:rsidRPr="00F7661A" w:rsidRDefault="00192CF6" w:rsidP="00655A7C">
            <w:pPr>
              <w:spacing w:line="480" w:lineRule="atLeast"/>
              <w:rPr>
                <w:rFonts w:ascii="宋体" w:hAnsi="宋体"/>
                <w:bCs/>
                <w:iCs/>
                <w:sz w:val="24"/>
                <w:szCs w:val="24"/>
              </w:rPr>
            </w:pPr>
            <w:r w:rsidRPr="00F7661A">
              <w:rPr>
                <w:rFonts w:ascii="宋体" w:hAnsi="宋体" w:hint="eastAsia"/>
                <w:bCs/>
                <w:iCs/>
                <w:sz w:val="24"/>
                <w:szCs w:val="24"/>
              </w:rPr>
              <w:t>□</w:t>
            </w:r>
            <w:r w:rsidR="00EB7CC6" w:rsidRPr="00F7661A">
              <w:rPr>
                <w:rFonts w:ascii="宋体" w:hAnsi="宋体" w:hint="eastAsia"/>
                <w:sz w:val="24"/>
                <w:szCs w:val="24"/>
              </w:rPr>
              <w:t>特定对象调研</w:t>
            </w:r>
            <w:r>
              <w:rPr>
                <w:rFonts w:ascii="宋体" w:hAnsi="宋体" w:hint="eastAsia"/>
                <w:sz w:val="24"/>
                <w:szCs w:val="24"/>
              </w:rPr>
              <w:t xml:space="preserve">   </w:t>
            </w:r>
            <w:r w:rsidR="00EB7CC6" w:rsidRPr="00F7661A">
              <w:rPr>
                <w:rFonts w:ascii="宋体" w:hAnsi="宋体" w:hint="eastAsia"/>
                <w:sz w:val="24"/>
                <w:szCs w:val="24"/>
              </w:rPr>
              <w:t xml:space="preserve">   </w:t>
            </w:r>
            <w:r>
              <w:rPr>
                <w:rFonts w:ascii="宋体" w:hAnsi="宋体"/>
                <w:sz w:val="24"/>
                <w:szCs w:val="24"/>
              </w:rPr>
              <w:t xml:space="preserve"> </w:t>
            </w:r>
            <w:r>
              <w:rPr>
                <w:rFonts w:ascii="宋体" w:hAnsi="宋体" w:hint="eastAsia"/>
                <w:bCs/>
                <w:iCs/>
                <w:sz w:val="24"/>
                <w:szCs w:val="24"/>
              </w:rPr>
              <w:t>√</w:t>
            </w:r>
            <w:r w:rsidR="00EB7CC6" w:rsidRPr="00F7661A">
              <w:rPr>
                <w:rFonts w:ascii="宋体" w:hAnsi="宋体" w:hint="eastAsia"/>
                <w:sz w:val="24"/>
                <w:szCs w:val="24"/>
              </w:rPr>
              <w:t>分析师会议</w:t>
            </w:r>
          </w:p>
          <w:p w14:paraId="6C56256E" w14:textId="556EA454" w:rsidR="00EB7CC6" w:rsidRPr="00F7661A" w:rsidRDefault="00EB7CC6" w:rsidP="00655A7C">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000B7E5B" w:rsidRPr="00F7661A">
              <w:rPr>
                <w:rFonts w:ascii="宋体" w:hAnsi="宋体" w:hint="eastAsia"/>
                <w:bCs/>
                <w:iCs/>
                <w:sz w:val="24"/>
                <w:szCs w:val="24"/>
              </w:rPr>
              <w:t>□</w:t>
            </w:r>
            <w:r w:rsidRPr="00F7661A">
              <w:rPr>
                <w:rFonts w:ascii="宋体" w:hAnsi="宋体" w:hint="eastAsia"/>
                <w:sz w:val="24"/>
                <w:szCs w:val="24"/>
              </w:rPr>
              <w:t>业绩说明会</w:t>
            </w:r>
          </w:p>
          <w:p w14:paraId="3FE6E1C6" w14:textId="481F0251" w:rsidR="00EB7CC6" w:rsidRPr="00F7661A" w:rsidRDefault="00EB7CC6" w:rsidP="00655A7C">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0068703D" w:rsidRPr="00F7661A">
              <w:rPr>
                <w:rFonts w:ascii="宋体" w:hAnsi="宋体" w:hint="eastAsia"/>
                <w:bCs/>
                <w:iCs/>
                <w:sz w:val="24"/>
                <w:szCs w:val="24"/>
              </w:rPr>
              <w:t>□</w:t>
            </w:r>
            <w:r w:rsidRPr="00F7661A">
              <w:rPr>
                <w:rFonts w:ascii="宋体" w:hAnsi="宋体" w:hint="eastAsia"/>
                <w:sz w:val="24"/>
                <w:szCs w:val="24"/>
              </w:rPr>
              <w:t>路演活动</w:t>
            </w:r>
          </w:p>
          <w:p w14:paraId="177049AA" w14:textId="77777777" w:rsidR="00EB7CC6" w:rsidRPr="00F7661A" w:rsidRDefault="00EB7CC6" w:rsidP="00655A7C">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现场参观</w:t>
            </w:r>
            <w:r w:rsidRPr="00F7661A">
              <w:rPr>
                <w:rFonts w:ascii="宋体" w:hAnsi="宋体"/>
                <w:bCs/>
                <w:iCs/>
                <w:sz w:val="24"/>
                <w:szCs w:val="24"/>
              </w:rPr>
              <w:tab/>
            </w:r>
          </w:p>
          <w:p w14:paraId="49C6C557" w14:textId="77777777" w:rsidR="00EB7CC6" w:rsidRPr="00F7661A" w:rsidRDefault="00EB7CC6" w:rsidP="004B526A">
            <w:pPr>
              <w:tabs>
                <w:tab w:val="center" w:pos="3199"/>
              </w:tabs>
              <w:spacing w:line="480" w:lineRule="atLeast"/>
              <w:rPr>
                <w:rFonts w:asci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其他 </w:t>
            </w:r>
          </w:p>
        </w:tc>
      </w:tr>
      <w:tr w:rsidR="00EB7CC6" w:rsidRPr="00F7661A" w14:paraId="6CF87CD9" w14:textId="77777777" w:rsidTr="00751B04">
        <w:tc>
          <w:tcPr>
            <w:tcW w:w="1249" w:type="dxa"/>
          </w:tcPr>
          <w:p w14:paraId="73544419" w14:textId="77777777" w:rsidR="00EB7CC6" w:rsidRPr="00F7661A" w:rsidRDefault="00EB7CC6" w:rsidP="00DE3F27">
            <w:pPr>
              <w:spacing w:line="480" w:lineRule="atLeast"/>
              <w:rPr>
                <w:rFonts w:ascii="宋体"/>
                <w:b/>
                <w:bCs/>
                <w:iCs/>
                <w:sz w:val="24"/>
                <w:szCs w:val="24"/>
              </w:rPr>
            </w:pPr>
            <w:r w:rsidRPr="00F7661A">
              <w:rPr>
                <w:rFonts w:ascii="宋体" w:hAnsi="宋体" w:hint="eastAsia"/>
                <w:b/>
                <w:bCs/>
                <w:iCs/>
                <w:sz w:val="24"/>
                <w:szCs w:val="24"/>
              </w:rPr>
              <w:t>参与单位名称及人员姓名</w:t>
            </w:r>
          </w:p>
        </w:tc>
        <w:tc>
          <w:tcPr>
            <w:tcW w:w="7364" w:type="dxa"/>
            <w:shd w:val="clear" w:color="auto" w:fill="auto"/>
          </w:tcPr>
          <w:p w14:paraId="02C57A7B" w14:textId="41120CF7" w:rsidR="00EB7CC6" w:rsidRPr="00D5099E" w:rsidRDefault="00393DBF" w:rsidP="00AB4693">
            <w:pPr>
              <w:spacing w:line="480" w:lineRule="atLeast"/>
              <w:rPr>
                <w:rFonts w:ascii="宋体"/>
                <w:bCs/>
                <w:iCs/>
                <w:sz w:val="24"/>
                <w:szCs w:val="24"/>
              </w:rPr>
            </w:pPr>
            <w:r>
              <w:rPr>
                <w:rFonts w:ascii="宋体" w:hint="eastAsia"/>
                <w:bCs/>
                <w:iCs/>
                <w:sz w:val="24"/>
                <w:szCs w:val="24"/>
              </w:rPr>
              <w:t>海通</w:t>
            </w:r>
            <w:r>
              <w:rPr>
                <w:rFonts w:ascii="宋体"/>
                <w:bCs/>
                <w:iCs/>
                <w:sz w:val="24"/>
                <w:szCs w:val="24"/>
              </w:rPr>
              <w:t>证券、</w:t>
            </w:r>
            <w:r>
              <w:rPr>
                <w:rFonts w:ascii="宋体" w:hint="eastAsia"/>
                <w:bCs/>
                <w:iCs/>
                <w:sz w:val="24"/>
                <w:szCs w:val="24"/>
              </w:rPr>
              <w:t>腾</w:t>
            </w:r>
            <w:r>
              <w:rPr>
                <w:rFonts w:ascii="宋体"/>
                <w:bCs/>
                <w:iCs/>
                <w:sz w:val="24"/>
                <w:szCs w:val="24"/>
              </w:rPr>
              <w:t>跃基金</w:t>
            </w:r>
            <w:r>
              <w:rPr>
                <w:rFonts w:ascii="宋体" w:hint="eastAsia"/>
                <w:bCs/>
                <w:iCs/>
                <w:sz w:val="24"/>
                <w:szCs w:val="24"/>
              </w:rPr>
              <w:t>、</w:t>
            </w:r>
            <w:r>
              <w:rPr>
                <w:rFonts w:ascii="宋体"/>
                <w:bCs/>
                <w:iCs/>
                <w:sz w:val="24"/>
                <w:szCs w:val="24"/>
              </w:rPr>
              <w:t>国泰君安</w:t>
            </w:r>
            <w:r>
              <w:rPr>
                <w:rFonts w:ascii="宋体" w:hint="eastAsia"/>
                <w:bCs/>
                <w:iCs/>
                <w:sz w:val="24"/>
                <w:szCs w:val="24"/>
              </w:rPr>
              <w:t>证券</w:t>
            </w:r>
            <w:r>
              <w:rPr>
                <w:rFonts w:ascii="宋体"/>
                <w:bCs/>
                <w:iCs/>
                <w:sz w:val="24"/>
                <w:szCs w:val="24"/>
              </w:rPr>
              <w:t>资管、中欧基金、</w:t>
            </w:r>
            <w:proofErr w:type="gramStart"/>
            <w:r>
              <w:rPr>
                <w:rFonts w:ascii="宋体"/>
                <w:bCs/>
                <w:iCs/>
                <w:sz w:val="24"/>
                <w:szCs w:val="24"/>
              </w:rPr>
              <w:t>世</w:t>
            </w:r>
            <w:proofErr w:type="gramEnd"/>
            <w:r>
              <w:rPr>
                <w:rFonts w:ascii="宋体"/>
                <w:bCs/>
                <w:iCs/>
                <w:sz w:val="24"/>
                <w:szCs w:val="24"/>
              </w:rPr>
              <w:t>诚投资、</w:t>
            </w:r>
            <w:r>
              <w:rPr>
                <w:rFonts w:ascii="宋体" w:hint="eastAsia"/>
                <w:bCs/>
                <w:iCs/>
                <w:sz w:val="24"/>
                <w:szCs w:val="24"/>
              </w:rPr>
              <w:t>道</w:t>
            </w:r>
            <w:proofErr w:type="gramStart"/>
            <w:r>
              <w:rPr>
                <w:rFonts w:ascii="宋体" w:hint="eastAsia"/>
                <w:bCs/>
                <w:iCs/>
                <w:sz w:val="24"/>
                <w:szCs w:val="24"/>
              </w:rPr>
              <w:t>仁</w:t>
            </w:r>
            <w:r>
              <w:rPr>
                <w:rFonts w:ascii="宋体"/>
                <w:bCs/>
                <w:iCs/>
                <w:sz w:val="24"/>
                <w:szCs w:val="24"/>
              </w:rPr>
              <w:t>资管</w:t>
            </w:r>
            <w:proofErr w:type="gramEnd"/>
            <w:r>
              <w:rPr>
                <w:rFonts w:ascii="宋体"/>
                <w:bCs/>
                <w:iCs/>
                <w:sz w:val="24"/>
                <w:szCs w:val="24"/>
              </w:rPr>
              <w:t>、</w:t>
            </w:r>
            <w:r>
              <w:rPr>
                <w:rFonts w:ascii="宋体" w:hint="eastAsia"/>
                <w:bCs/>
                <w:iCs/>
                <w:sz w:val="24"/>
                <w:szCs w:val="24"/>
              </w:rPr>
              <w:t>申万菱信</w:t>
            </w:r>
            <w:r>
              <w:rPr>
                <w:rFonts w:ascii="宋体"/>
                <w:bCs/>
                <w:iCs/>
                <w:sz w:val="24"/>
                <w:szCs w:val="24"/>
              </w:rPr>
              <w:t>基金、</w:t>
            </w:r>
            <w:proofErr w:type="gramStart"/>
            <w:r>
              <w:rPr>
                <w:rFonts w:ascii="宋体"/>
                <w:bCs/>
                <w:iCs/>
                <w:sz w:val="24"/>
                <w:szCs w:val="24"/>
              </w:rPr>
              <w:t>睿</w:t>
            </w:r>
            <w:proofErr w:type="gramEnd"/>
            <w:r>
              <w:rPr>
                <w:rFonts w:ascii="宋体"/>
                <w:bCs/>
                <w:iCs/>
                <w:sz w:val="24"/>
                <w:szCs w:val="24"/>
              </w:rPr>
              <w:t>银投资、</w:t>
            </w:r>
            <w:r>
              <w:rPr>
                <w:rFonts w:ascii="宋体" w:hint="eastAsia"/>
                <w:bCs/>
                <w:iCs/>
                <w:sz w:val="24"/>
                <w:szCs w:val="24"/>
              </w:rPr>
              <w:t>华夏</w:t>
            </w:r>
            <w:r>
              <w:rPr>
                <w:rFonts w:ascii="宋体"/>
                <w:bCs/>
                <w:iCs/>
                <w:sz w:val="24"/>
                <w:szCs w:val="24"/>
              </w:rPr>
              <w:t>基金、合众资产、</w:t>
            </w:r>
            <w:proofErr w:type="gramStart"/>
            <w:r>
              <w:rPr>
                <w:rFonts w:ascii="宋体"/>
                <w:bCs/>
                <w:iCs/>
                <w:sz w:val="24"/>
                <w:szCs w:val="24"/>
              </w:rPr>
              <w:t>鹏扬基金</w:t>
            </w:r>
            <w:proofErr w:type="gramEnd"/>
            <w:r>
              <w:rPr>
                <w:rFonts w:ascii="宋体"/>
                <w:bCs/>
                <w:iCs/>
                <w:sz w:val="24"/>
                <w:szCs w:val="24"/>
              </w:rPr>
              <w:t>、国金证券、华商基金</w:t>
            </w:r>
          </w:p>
        </w:tc>
      </w:tr>
      <w:tr w:rsidR="00EB7CC6" w:rsidRPr="00F7661A" w14:paraId="3D9C3817" w14:textId="77777777" w:rsidTr="00EB7CC6">
        <w:tc>
          <w:tcPr>
            <w:tcW w:w="1249" w:type="dxa"/>
          </w:tcPr>
          <w:p w14:paraId="13DA8B92" w14:textId="77777777" w:rsidR="00EB7CC6" w:rsidRPr="00F7661A" w:rsidRDefault="00EB7CC6" w:rsidP="00DE3F27">
            <w:pPr>
              <w:spacing w:line="480" w:lineRule="atLeast"/>
              <w:rPr>
                <w:rFonts w:ascii="宋体"/>
                <w:b/>
                <w:bCs/>
                <w:iCs/>
                <w:sz w:val="24"/>
                <w:szCs w:val="24"/>
              </w:rPr>
            </w:pPr>
            <w:r w:rsidRPr="00F7661A">
              <w:rPr>
                <w:rFonts w:ascii="宋体" w:hAnsi="宋体" w:hint="eastAsia"/>
                <w:b/>
                <w:bCs/>
                <w:iCs/>
                <w:sz w:val="24"/>
                <w:szCs w:val="24"/>
              </w:rPr>
              <w:t>时间</w:t>
            </w:r>
          </w:p>
        </w:tc>
        <w:tc>
          <w:tcPr>
            <w:tcW w:w="7364" w:type="dxa"/>
          </w:tcPr>
          <w:p w14:paraId="42291876" w14:textId="21BB50C1" w:rsidR="00EB7CC6" w:rsidRPr="00F7661A" w:rsidRDefault="00EB7CC6" w:rsidP="00F83746">
            <w:pPr>
              <w:spacing w:line="480" w:lineRule="atLeast"/>
              <w:rPr>
                <w:rFonts w:ascii="宋体"/>
                <w:bCs/>
                <w:iCs/>
                <w:sz w:val="24"/>
                <w:szCs w:val="24"/>
              </w:rPr>
            </w:pPr>
            <w:r>
              <w:rPr>
                <w:rFonts w:ascii="宋体" w:hint="eastAsia"/>
                <w:bCs/>
                <w:iCs/>
                <w:sz w:val="24"/>
                <w:szCs w:val="24"/>
              </w:rPr>
              <w:t>201</w:t>
            </w:r>
            <w:r w:rsidR="00FA6E13">
              <w:rPr>
                <w:rFonts w:ascii="宋体"/>
                <w:bCs/>
                <w:iCs/>
                <w:sz w:val="24"/>
                <w:szCs w:val="24"/>
              </w:rPr>
              <w:t>9</w:t>
            </w:r>
            <w:r>
              <w:rPr>
                <w:rFonts w:ascii="宋体" w:hint="eastAsia"/>
                <w:bCs/>
                <w:iCs/>
                <w:sz w:val="24"/>
                <w:szCs w:val="24"/>
              </w:rPr>
              <w:t>年</w:t>
            </w:r>
            <w:r w:rsidR="00393DBF">
              <w:rPr>
                <w:rFonts w:ascii="宋体"/>
                <w:bCs/>
                <w:iCs/>
                <w:sz w:val="24"/>
                <w:szCs w:val="24"/>
              </w:rPr>
              <w:t>4</w:t>
            </w:r>
            <w:r>
              <w:rPr>
                <w:rFonts w:ascii="宋体" w:hint="eastAsia"/>
                <w:bCs/>
                <w:iCs/>
                <w:sz w:val="24"/>
                <w:szCs w:val="24"/>
              </w:rPr>
              <w:t>月</w:t>
            </w:r>
            <w:r w:rsidR="00393DBF">
              <w:rPr>
                <w:rFonts w:ascii="宋体"/>
                <w:bCs/>
                <w:iCs/>
                <w:sz w:val="24"/>
                <w:szCs w:val="24"/>
              </w:rPr>
              <w:t>2</w:t>
            </w:r>
            <w:r w:rsidR="00E62DCE">
              <w:rPr>
                <w:rFonts w:ascii="宋体" w:hint="eastAsia"/>
                <w:bCs/>
                <w:iCs/>
                <w:sz w:val="24"/>
                <w:szCs w:val="24"/>
              </w:rPr>
              <w:t>5</w:t>
            </w:r>
            <w:r>
              <w:rPr>
                <w:rFonts w:ascii="宋体" w:hint="eastAsia"/>
                <w:bCs/>
                <w:iCs/>
                <w:sz w:val="24"/>
                <w:szCs w:val="24"/>
              </w:rPr>
              <w:t>日</w:t>
            </w:r>
          </w:p>
        </w:tc>
      </w:tr>
      <w:tr w:rsidR="00EB7CC6" w:rsidRPr="00F7661A" w14:paraId="72AEDFD0" w14:textId="77777777" w:rsidTr="00EB7CC6">
        <w:tc>
          <w:tcPr>
            <w:tcW w:w="1249" w:type="dxa"/>
          </w:tcPr>
          <w:p w14:paraId="2D20A04D" w14:textId="77777777" w:rsidR="00EB7CC6" w:rsidRPr="00F7661A" w:rsidRDefault="00EB7CC6" w:rsidP="00DE3F27">
            <w:pPr>
              <w:spacing w:line="480" w:lineRule="atLeast"/>
              <w:rPr>
                <w:rFonts w:ascii="宋体"/>
                <w:b/>
                <w:bCs/>
                <w:iCs/>
                <w:sz w:val="24"/>
                <w:szCs w:val="24"/>
              </w:rPr>
            </w:pPr>
            <w:r w:rsidRPr="00F7661A">
              <w:rPr>
                <w:rFonts w:ascii="宋体" w:hAnsi="宋体" w:hint="eastAsia"/>
                <w:b/>
                <w:bCs/>
                <w:iCs/>
                <w:sz w:val="24"/>
                <w:szCs w:val="24"/>
              </w:rPr>
              <w:t>地点</w:t>
            </w:r>
          </w:p>
        </w:tc>
        <w:tc>
          <w:tcPr>
            <w:tcW w:w="7364" w:type="dxa"/>
          </w:tcPr>
          <w:p w14:paraId="57B26A8F" w14:textId="33F402DC" w:rsidR="00EB7CC6" w:rsidRPr="00F7661A" w:rsidRDefault="00AE6D79" w:rsidP="007D77B1">
            <w:pPr>
              <w:spacing w:line="480" w:lineRule="atLeast"/>
              <w:rPr>
                <w:rFonts w:ascii="宋体"/>
                <w:bCs/>
                <w:iCs/>
                <w:sz w:val="24"/>
                <w:szCs w:val="24"/>
              </w:rPr>
            </w:pPr>
            <w:r>
              <w:rPr>
                <w:rFonts w:ascii="宋体" w:hint="eastAsia"/>
                <w:bCs/>
                <w:iCs/>
                <w:sz w:val="24"/>
                <w:szCs w:val="24"/>
              </w:rPr>
              <w:t>杭州市</w:t>
            </w:r>
            <w:r>
              <w:rPr>
                <w:rFonts w:ascii="宋体"/>
                <w:bCs/>
                <w:iCs/>
                <w:sz w:val="24"/>
                <w:szCs w:val="24"/>
              </w:rPr>
              <w:t>西溪宾馆</w:t>
            </w:r>
          </w:p>
        </w:tc>
      </w:tr>
      <w:tr w:rsidR="00EB7CC6" w:rsidRPr="00F7661A" w14:paraId="7C19F381" w14:textId="77777777" w:rsidTr="00EB7CC6">
        <w:tc>
          <w:tcPr>
            <w:tcW w:w="1249" w:type="dxa"/>
          </w:tcPr>
          <w:p w14:paraId="39CD3609" w14:textId="77777777" w:rsidR="00EB7CC6" w:rsidRPr="00F7661A" w:rsidRDefault="00EB7CC6" w:rsidP="00DE3F27">
            <w:pPr>
              <w:spacing w:line="480" w:lineRule="atLeast"/>
              <w:rPr>
                <w:rFonts w:ascii="宋体"/>
                <w:b/>
                <w:bCs/>
                <w:iCs/>
                <w:sz w:val="24"/>
                <w:szCs w:val="24"/>
              </w:rPr>
            </w:pPr>
            <w:r w:rsidRPr="00F7661A">
              <w:rPr>
                <w:rFonts w:ascii="宋体" w:hAnsi="宋体" w:hint="eastAsia"/>
                <w:b/>
                <w:bCs/>
                <w:iCs/>
                <w:sz w:val="24"/>
                <w:szCs w:val="24"/>
              </w:rPr>
              <w:t>上市公司接待人员姓名</w:t>
            </w:r>
          </w:p>
        </w:tc>
        <w:tc>
          <w:tcPr>
            <w:tcW w:w="7364" w:type="dxa"/>
          </w:tcPr>
          <w:p w14:paraId="7FB796DE" w14:textId="5D45DC71" w:rsidR="00305414" w:rsidRDefault="00393DBF" w:rsidP="0016617A">
            <w:pPr>
              <w:spacing w:line="480" w:lineRule="atLeast"/>
              <w:rPr>
                <w:rFonts w:ascii="宋体"/>
                <w:bCs/>
                <w:iCs/>
                <w:sz w:val="24"/>
                <w:szCs w:val="24"/>
              </w:rPr>
            </w:pPr>
            <w:r>
              <w:rPr>
                <w:rFonts w:ascii="宋体" w:hint="eastAsia"/>
                <w:bCs/>
                <w:iCs/>
                <w:sz w:val="24"/>
                <w:szCs w:val="24"/>
              </w:rPr>
              <w:t>副总裁兼财务</w:t>
            </w:r>
            <w:r>
              <w:rPr>
                <w:rFonts w:ascii="宋体"/>
                <w:bCs/>
                <w:iCs/>
                <w:sz w:val="24"/>
                <w:szCs w:val="24"/>
              </w:rPr>
              <w:t>总监</w:t>
            </w:r>
            <w:r w:rsidR="00305414">
              <w:rPr>
                <w:rFonts w:ascii="宋体"/>
                <w:bCs/>
                <w:iCs/>
                <w:sz w:val="24"/>
                <w:szCs w:val="24"/>
              </w:rPr>
              <w:t>：</w:t>
            </w:r>
            <w:r>
              <w:rPr>
                <w:rFonts w:ascii="宋体" w:hint="eastAsia"/>
                <w:bCs/>
                <w:iCs/>
                <w:sz w:val="24"/>
                <w:szCs w:val="24"/>
              </w:rPr>
              <w:t>贺德勇</w:t>
            </w:r>
          </w:p>
          <w:p w14:paraId="3F2EA919" w14:textId="0FBB8D1E" w:rsidR="003D0F78" w:rsidRPr="0016617A" w:rsidRDefault="003D0F78" w:rsidP="0016617A">
            <w:pPr>
              <w:spacing w:line="480" w:lineRule="atLeast"/>
              <w:rPr>
                <w:rFonts w:ascii="宋体"/>
                <w:bCs/>
                <w:iCs/>
                <w:sz w:val="24"/>
                <w:szCs w:val="24"/>
              </w:rPr>
            </w:pPr>
            <w:r>
              <w:rPr>
                <w:rFonts w:ascii="宋体" w:hint="eastAsia"/>
                <w:bCs/>
                <w:iCs/>
                <w:sz w:val="24"/>
                <w:szCs w:val="24"/>
              </w:rPr>
              <w:t>投资者</w:t>
            </w:r>
            <w:r w:rsidR="00CB46E3">
              <w:rPr>
                <w:rFonts w:ascii="宋体"/>
                <w:bCs/>
                <w:iCs/>
                <w:sz w:val="24"/>
                <w:szCs w:val="24"/>
              </w:rPr>
              <w:t>关系经理：王振标</w:t>
            </w:r>
            <w:r w:rsidR="002A1EEE">
              <w:rPr>
                <w:rFonts w:ascii="宋体" w:hint="eastAsia"/>
                <w:bCs/>
                <w:iCs/>
                <w:sz w:val="24"/>
                <w:szCs w:val="24"/>
              </w:rPr>
              <w:t>、</w:t>
            </w:r>
            <w:r w:rsidR="002A1EEE">
              <w:rPr>
                <w:rFonts w:ascii="宋体"/>
                <w:bCs/>
                <w:iCs/>
                <w:sz w:val="24"/>
                <w:szCs w:val="24"/>
              </w:rPr>
              <w:t>林昌帅</w:t>
            </w:r>
          </w:p>
        </w:tc>
      </w:tr>
      <w:tr w:rsidR="00EB7CC6" w:rsidRPr="003375FA" w14:paraId="3790028B" w14:textId="77777777" w:rsidTr="00EB7CC6">
        <w:trPr>
          <w:trHeight w:val="1757"/>
        </w:trPr>
        <w:tc>
          <w:tcPr>
            <w:tcW w:w="1249" w:type="dxa"/>
            <w:vAlign w:val="center"/>
          </w:tcPr>
          <w:p w14:paraId="0A9F8A63" w14:textId="77777777" w:rsidR="00EB7CC6" w:rsidRPr="00F7661A" w:rsidRDefault="00EB7CC6" w:rsidP="00DE3F27">
            <w:pPr>
              <w:spacing w:line="480" w:lineRule="atLeast"/>
              <w:rPr>
                <w:rFonts w:ascii="宋体"/>
                <w:b/>
                <w:bCs/>
                <w:iCs/>
                <w:sz w:val="24"/>
                <w:szCs w:val="24"/>
              </w:rPr>
            </w:pPr>
            <w:r w:rsidRPr="00F7661A">
              <w:rPr>
                <w:rFonts w:ascii="宋体" w:hAnsi="宋体" w:hint="eastAsia"/>
                <w:b/>
                <w:bCs/>
                <w:iCs/>
                <w:sz w:val="24"/>
                <w:szCs w:val="24"/>
              </w:rPr>
              <w:t>投资者关系活动主要内容介绍</w:t>
            </w:r>
          </w:p>
          <w:p w14:paraId="258CA872" w14:textId="77777777" w:rsidR="00EB7CC6" w:rsidRPr="00F7661A" w:rsidRDefault="00EB7CC6" w:rsidP="00DE3F27">
            <w:pPr>
              <w:spacing w:line="480" w:lineRule="atLeast"/>
              <w:rPr>
                <w:rFonts w:ascii="宋体"/>
                <w:b/>
                <w:bCs/>
                <w:iCs/>
                <w:sz w:val="24"/>
                <w:szCs w:val="24"/>
              </w:rPr>
            </w:pPr>
          </w:p>
        </w:tc>
        <w:tc>
          <w:tcPr>
            <w:tcW w:w="7364" w:type="dxa"/>
          </w:tcPr>
          <w:p w14:paraId="7EA6AEE1" w14:textId="01E8E9C2" w:rsidR="00393DBF" w:rsidRPr="00182F62" w:rsidRDefault="00E62DCE" w:rsidP="001521E0">
            <w:pPr>
              <w:spacing w:line="480" w:lineRule="atLeast"/>
              <w:rPr>
                <w:rFonts w:ascii="宋体"/>
                <w:bCs/>
                <w:iCs/>
                <w:sz w:val="24"/>
                <w:szCs w:val="24"/>
              </w:rPr>
            </w:pPr>
            <w:r>
              <w:rPr>
                <w:rFonts w:ascii="宋体" w:hint="eastAsia"/>
                <w:bCs/>
                <w:iCs/>
                <w:sz w:val="24"/>
                <w:szCs w:val="24"/>
              </w:rPr>
              <w:t>一、</w:t>
            </w:r>
            <w:r w:rsidR="00393DBF" w:rsidRPr="00182F62">
              <w:rPr>
                <w:rFonts w:ascii="宋体" w:hint="eastAsia"/>
                <w:bCs/>
                <w:iCs/>
                <w:sz w:val="24"/>
                <w:szCs w:val="24"/>
              </w:rPr>
              <w:t>副总裁兼</w:t>
            </w:r>
            <w:r w:rsidR="00393DBF" w:rsidRPr="00182F62">
              <w:rPr>
                <w:rFonts w:ascii="宋体"/>
                <w:bCs/>
                <w:iCs/>
                <w:sz w:val="24"/>
                <w:szCs w:val="24"/>
              </w:rPr>
              <w:t>财务总监</w:t>
            </w:r>
            <w:r w:rsidR="00393DBF" w:rsidRPr="00182F62">
              <w:rPr>
                <w:rFonts w:ascii="宋体" w:hint="eastAsia"/>
                <w:bCs/>
                <w:iCs/>
                <w:sz w:val="24"/>
                <w:szCs w:val="24"/>
              </w:rPr>
              <w:t>贺德勇</w:t>
            </w:r>
            <w:r w:rsidR="00F9655B" w:rsidRPr="00182F62">
              <w:rPr>
                <w:rFonts w:ascii="宋体" w:hint="eastAsia"/>
                <w:bCs/>
                <w:iCs/>
                <w:sz w:val="24"/>
                <w:szCs w:val="24"/>
              </w:rPr>
              <w:t>先生</w:t>
            </w:r>
            <w:r w:rsidR="000B7E5B" w:rsidRPr="00182F62">
              <w:rPr>
                <w:rFonts w:ascii="宋体" w:hint="eastAsia"/>
                <w:bCs/>
                <w:iCs/>
                <w:sz w:val="24"/>
                <w:szCs w:val="24"/>
              </w:rPr>
              <w:t>就协</w:t>
            </w:r>
            <w:proofErr w:type="gramStart"/>
            <w:r w:rsidR="000B7E5B" w:rsidRPr="00182F62">
              <w:rPr>
                <w:rFonts w:ascii="宋体" w:hint="eastAsia"/>
                <w:bCs/>
                <w:iCs/>
                <w:sz w:val="24"/>
                <w:szCs w:val="24"/>
              </w:rPr>
              <w:t>鑫</w:t>
            </w:r>
            <w:proofErr w:type="gramEnd"/>
            <w:r w:rsidR="000B7E5B" w:rsidRPr="00182F62">
              <w:rPr>
                <w:rFonts w:ascii="宋体"/>
                <w:bCs/>
                <w:iCs/>
                <w:sz w:val="24"/>
                <w:szCs w:val="24"/>
              </w:rPr>
              <w:t>集成</w:t>
            </w:r>
            <w:r w:rsidR="009B4ED3" w:rsidRPr="00182F62">
              <w:rPr>
                <w:rFonts w:ascii="宋体" w:hint="eastAsia"/>
                <w:bCs/>
                <w:iCs/>
                <w:sz w:val="24"/>
                <w:szCs w:val="24"/>
              </w:rPr>
              <w:t>的</w:t>
            </w:r>
            <w:r w:rsidR="009B4ED3" w:rsidRPr="00182F62">
              <w:rPr>
                <w:rFonts w:ascii="宋体"/>
                <w:bCs/>
                <w:iCs/>
                <w:sz w:val="24"/>
                <w:szCs w:val="24"/>
              </w:rPr>
              <w:t>基本情况</w:t>
            </w:r>
            <w:r w:rsidR="009B4ED3" w:rsidRPr="00182F62">
              <w:rPr>
                <w:rFonts w:ascii="宋体" w:hint="eastAsia"/>
                <w:bCs/>
                <w:iCs/>
                <w:sz w:val="24"/>
                <w:szCs w:val="24"/>
              </w:rPr>
              <w:t>以及</w:t>
            </w:r>
            <w:r w:rsidR="009B4ED3" w:rsidRPr="00182F62">
              <w:rPr>
                <w:rFonts w:ascii="宋体"/>
                <w:bCs/>
                <w:iCs/>
                <w:sz w:val="24"/>
                <w:szCs w:val="24"/>
              </w:rPr>
              <w:t>公司</w:t>
            </w:r>
            <w:r w:rsidR="009B4ED3" w:rsidRPr="00182F62">
              <w:rPr>
                <w:rFonts w:ascii="宋体" w:hint="eastAsia"/>
                <w:bCs/>
                <w:iCs/>
                <w:sz w:val="24"/>
                <w:szCs w:val="24"/>
              </w:rPr>
              <w:t>2018年</w:t>
            </w:r>
            <w:r>
              <w:rPr>
                <w:rFonts w:ascii="宋体" w:hint="eastAsia"/>
                <w:bCs/>
                <w:iCs/>
                <w:sz w:val="24"/>
                <w:szCs w:val="24"/>
              </w:rPr>
              <w:t>度</w:t>
            </w:r>
            <w:r w:rsidR="009B4ED3" w:rsidRPr="00182F62">
              <w:rPr>
                <w:rFonts w:ascii="宋体"/>
                <w:bCs/>
                <w:iCs/>
                <w:sz w:val="24"/>
                <w:szCs w:val="24"/>
              </w:rPr>
              <w:t>经营</w:t>
            </w:r>
            <w:r>
              <w:rPr>
                <w:rFonts w:ascii="宋体" w:hint="eastAsia"/>
                <w:bCs/>
                <w:iCs/>
                <w:sz w:val="24"/>
                <w:szCs w:val="24"/>
              </w:rPr>
              <w:t>业绩</w:t>
            </w:r>
            <w:r w:rsidR="009B4ED3" w:rsidRPr="00182F62">
              <w:rPr>
                <w:rFonts w:ascii="宋体"/>
                <w:bCs/>
                <w:iCs/>
                <w:sz w:val="24"/>
                <w:szCs w:val="24"/>
              </w:rPr>
              <w:t>向</w:t>
            </w:r>
            <w:r w:rsidR="009B4ED3" w:rsidRPr="00182F62">
              <w:rPr>
                <w:rFonts w:ascii="宋体" w:hint="eastAsia"/>
                <w:bCs/>
                <w:iCs/>
                <w:sz w:val="24"/>
                <w:szCs w:val="24"/>
              </w:rPr>
              <w:t>投资者</w:t>
            </w:r>
            <w:r w:rsidR="00182F62" w:rsidRPr="00182F62">
              <w:rPr>
                <w:rFonts w:ascii="宋体"/>
                <w:bCs/>
                <w:iCs/>
                <w:sz w:val="24"/>
                <w:szCs w:val="24"/>
              </w:rPr>
              <w:t>做了简要介绍，</w:t>
            </w:r>
            <w:r w:rsidR="00182F62" w:rsidRPr="00182F62">
              <w:rPr>
                <w:rFonts w:ascii="宋体" w:hint="eastAsia"/>
                <w:bCs/>
                <w:iCs/>
                <w:sz w:val="24"/>
                <w:szCs w:val="24"/>
              </w:rPr>
              <w:t>并向出席本次调研会议的投资者表示欢迎。</w:t>
            </w:r>
          </w:p>
          <w:p w14:paraId="0F2809F9" w14:textId="202EE7B0" w:rsidR="00EB7CC6" w:rsidRDefault="00C0691F" w:rsidP="00783F37">
            <w:pPr>
              <w:spacing w:line="480" w:lineRule="atLeast"/>
              <w:rPr>
                <w:rFonts w:ascii="宋体"/>
                <w:bCs/>
                <w:iCs/>
                <w:sz w:val="24"/>
                <w:szCs w:val="24"/>
              </w:rPr>
            </w:pPr>
            <w:r>
              <w:rPr>
                <w:rFonts w:ascii="宋体" w:hint="eastAsia"/>
                <w:bCs/>
                <w:iCs/>
                <w:sz w:val="24"/>
                <w:szCs w:val="24"/>
              </w:rPr>
              <w:t>二</w:t>
            </w:r>
            <w:r w:rsidR="00EB7CC6">
              <w:rPr>
                <w:rFonts w:ascii="宋体" w:hint="eastAsia"/>
                <w:bCs/>
                <w:iCs/>
                <w:sz w:val="24"/>
                <w:szCs w:val="24"/>
              </w:rPr>
              <w:t>、投资者互动主要内容</w:t>
            </w:r>
          </w:p>
          <w:p w14:paraId="2D0082F1" w14:textId="0B99AFCE" w:rsidR="004933D8" w:rsidRPr="004933D8" w:rsidRDefault="006F1F8F" w:rsidP="007E60C6">
            <w:pPr>
              <w:spacing w:line="480" w:lineRule="atLeast"/>
              <w:rPr>
                <w:rFonts w:ascii="宋体"/>
                <w:bCs/>
                <w:iCs/>
                <w:sz w:val="24"/>
                <w:szCs w:val="24"/>
              </w:rPr>
            </w:pPr>
            <w:r>
              <w:rPr>
                <w:rFonts w:ascii="宋体"/>
                <w:bCs/>
                <w:iCs/>
                <w:sz w:val="24"/>
                <w:szCs w:val="24"/>
              </w:rPr>
              <w:t>1</w:t>
            </w:r>
            <w:r w:rsidR="004933D8">
              <w:rPr>
                <w:rFonts w:ascii="宋体" w:hint="eastAsia"/>
                <w:bCs/>
                <w:iCs/>
                <w:sz w:val="24"/>
                <w:szCs w:val="24"/>
              </w:rPr>
              <w:t>、</w:t>
            </w:r>
            <w:r w:rsidR="00D612D6">
              <w:rPr>
                <w:rFonts w:ascii="宋体" w:hint="eastAsia"/>
                <w:bCs/>
                <w:iCs/>
                <w:sz w:val="24"/>
                <w:szCs w:val="24"/>
              </w:rPr>
              <w:t>公司2018年</w:t>
            </w:r>
            <w:r w:rsidR="00D612D6">
              <w:rPr>
                <w:rFonts w:ascii="宋体"/>
                <w:bCs/>
                <w:iCs/>
                <w:sz w:val="24"/>
                <w:szCs w:val="24"/>
              </w:rPr>
              <w:t>海外</w:t>
            </w:r>
            <w:r w:rsidR="00D612D6">
              <w:rPr>
                <w:rFonts w:ascii="宋体" w:hint="eastAsia"/>
                <w:bCs/>
                <w:iCs/>
                <w:sz w:val="24"/>
                <w:szCs w:val="24"/>
              </w:rPr>
              <w:t>收入</w:t>
            </w:r>
            <w:r w:rsidR="00D612D6">
              <w:rPr>
                <w:rFonts w:ascii="宋体"/>
                <w:bCs/>
                <w:iCs/>
                <w:sz w:val="24"/>
                <w:szCs w:val="24"/>
              </w:rPr>
              <w:t>大规模增加的主要原因是什么</w:t>
            </w:r>
            <w:r w:rsidR="004933D8">
              <w:rPr>
                <w:rFonts w:ascii="宋体"/>
                <w:bCs/>
                <w:iCs/>
                <w:sz w:val="24"/>
                <w:szCs w:val="24"/>
              </w:rPr>
              <w:t>？</w:t>
            </w:r>
            <w:r w:rsidRPr="004933D8">
              <w:rPr>
                <w:rFonts w:ascii="宋体" w:hint="eastAsia"/>
                <w:bCs/>
                <w:iCs/>
                <w:sz w:val="24"/>
                <w:szCs w:val="24"/>
              </w:rPr>
              <w:t xml:space="preserve"> </w:t>
            </w:r>
          </w:p>
          <w:p w14:paraId="678B1EAB" w14:textId="2AA2F0C0" w:rsidR="00D612D6" w:rsidRDefault="00973C01" w:rsidP="00877BE8">
            <w:pPr>
              <w:spacing w:line="480" w:lineRule="atLeast"/>
              <w:rPr>
                <w:rFonts w:ascii="宋体"/>
                <w:bCs/>
                <w:iCs/>
                <w:sz w:val="24"/>
                <w:szCs w:val="24"/>
              </w:rPr>
            </w:pPr>
            <w:r>
              <w:rPr>
                <w:rFonts w:ascii="宋体" w:hint="eastAsia"/>
                <w:bCs/>
                <w:iCs/>
                <w:sz w:val="24"/>
                <w:szCs w:val="24"/>
              </w:rPr>
              <w:t>答复</w:t>
            </w:r>
            <w:r>
              <w:rPr>
                <w:rFonts w:ascii="宋体"/>
                <w:bCs/>
                <w:iCs/>
                <w:sz w:val="24"/>
                <w:szCs w:val="24"/>
              </w:rPr>
              <w:t>：</w:t>
            </w:r>
            <w:r w:rsidR="00D612D6" w:rsidRPr="00D612D6">
              <w:rPr>
                <w:rFonts w:ascii="宋体" w:hint="eastAsia"/>
                <w:bCs/>
                <w:iCs/>
                <w:sz w:val="24"/>
                <w:szCs w:val="24"/>
              </w:rPr>
              <w:t>随着光</w:t>
            </w:r>
            <w:proofErr w:type="gramStart"/>
            <w:r w:rsidR="00D612D6" w:rsidRPr="00D612D6">
              <w:rPr>
                <w:rFonts w:ascii="宋体" w:hint="eastAsia"/>
                <w:bCs/>
                <w:iCs/>
                <w:sz w:val="24"/>
                <w:szCs w:val="24"/>
              </w:rPr>
              <w:t>伏技术</w:t>
            </w:r>
            <w:proofErr w:type="gramEnd"/>
            <w:r w:rsidR="00D612D6" w:rsidRPr="00D612D6">
              <w:rPr>
                <w:rFonts w:ascii="宋体" w:hint="eastAsia"/>
                <w:bCs/>
                <w:iCs/>
                <w:sz w:val="24"/>
                <w:szCs w:val="24"/>
              </w:rPr>
              <w:t>持续升级，系统成本不断下降，海外多地区已经达到或趋向平价上网，继而激发了潜在的市场需求</w:t>
            </w:r>
            <w:r w:rsidR="00D612D6">
              <w:rPr>
                <w:rFonts w:ascii="宋体" w:hint="eastAsia"/>
                <w:bCs/>
                <w:iCs/>
                <w:sz w:val="24"/>
                <w:szCs w:val="24"/>
              </w:rPr>
              <w:t>。</w:t>
            </w:r>
            <w:r w:rsidR="00D612D6" w:rsidRPr="00D612D6">
              <w:rPr>
                <w:rFonts w:ascii="宋体" w:hint="eastAsia"/>
                <w:bCs/>
                <w:iCs/>
                <w:sz w:val="24"/>
                <w:szCs w:val="24"/>
              </w:rPr>
              <w:t>公司</w:t>
            </w:r>
            <w:r w:rsidR="006E239C">
              <w:rPr>
                <w:rFonts w:ascii="宋体" w:hint="eastAsia"/>
                <w:bCs/>
                <w:iCs/>
                <w:sz w:val="24"/>
                <w:szCs w:val="24"/>
              </w:rPr>
              <w:t>始终坚持</w:t>
            </w:r>
            <w:r w:rsidR="00D612D6">
              <w:rPr>
                <w:rFonts w:ascii="宋体"/>
                <w:bCs/>
                <w:iCs/>
                <w:sz w:val="24"/>
                <w:szCs w:val="24"/>
              </w:rPr>
              <w:t>光伏国际化</w:t>
            </w:r>
            <w:r w:rsidR="00D612D6">
              <w:rPr>
                <w:rFonts w:ascii="宋体" w:hint="eastAsia"/>
                <w:bCs/>
                <w:iCs/>
                <w:sz w:val="24"/>
                <w:szCs w:val="24"/>
              </w:rPr>
              <w:t>发展</w:t>
            </w:r>
            <w:r w:rsidR="00D612D6">
              <w:rPr>
                <w:rFonts w:ascii="宋体"/>
                <w:bCs/>
                <w:iCs/>
                <w:sz w:val="24"/>
                <w:szCs w:val="24"/>
              </w:rPr>
              <w:t>战略，</w:t>
            </w:r>
            <w:r w:rsidR="00D612D6" w:rsidRPr="00D612D6">
              <w:rPr>
                <w:rFonts w:ascii="宋体" w:hint="eastAsia"/>
                <w:bCs/>
                <w:iCs/>
                <w:sz w:val="24"/>
                <w:szCs w:val="24"/>
              </w:rPr>
              <w:t>全力发展海外市场，利用协</w:t>
            </w:r>
            <w:proofErr w:type="gramStart"/>
            <w:r w:rsidR="00D612D6" w:rsidRPr="00D612D6">
              <w:rPr>
                <w:rFonts w:ascii="宋体" w:hint="eastAsia"/>
                <w:bCs/>
                <w:iCs/>
                <w:sz w:val="24"/>
                <w:szCs w:val="24"/>
              </w:rPr>
              <w:t>鑫</w:t>
            </w:r>
            <w:proofErr w:type="gramEnd"/>
            <w:r w:rsidR="00D612D6" w:rsidRPr="00D612D6">
              <w:rPr>
                <w:rFonts w:ascii="宋体" w:hint="eastAsia"/>
                <w:bCs/>
                <w:iCs/>
                <w:sz w:val="24"/>
                <w:szCs w:val="24"/>
              </w:rPr>
              <w:t>的全球品牌优势，加码全球营销渠道布局，在日本、印度、北美、澳大利亚、新加坡、</w:t>
            </w:r>
            <w:r w:rsidR="00D612D6" w:rsidRPr="00D612D6">
              <w:rPr>
                <w:rFonts w:ascii="宋体" w:hint="eastAsia"/>
                <w:bCs/>
                <w:iCs/>
                <w:sz w:val="24"/>
                <w:szCs w:val="24"/>
              </w:rPr>
              <w:lastRenderedPageBreak/>
              <w:t>德国、韩国等多个国家及区域设立子公司，在泰国、南美、中东、南欧、非洲等国家及区域设立代表处，产品及解决方案覆盖全球逾40个国家和地区</w:t>
            </w:r>
            <w:r w:rsidR="0064652E">
              <w:rPr>
                <w:rFonts w:ascii="宋体" w:hint="eastAsia"/>
                <w:bCs/>
                <w:iCs/>
                <w:sz w:val="24"/>
                <w:szCs w:val="24"/>
              </w:rPr>
              <w:t>，</w:t>
            </w:r>
            <w:r w:rsidR="0064652E" w:rsidRPr="0064652E">
              <w:rPr>
                <w:rFonts w:ascii="宋体" w:hint="eastAsia"/>
                <w:bCs/>
                <w:iCs/>
                <w:sz w:val="24"/>
                <w:szCs w:val="24"/>
              </w:rPr>
              <w:t>同时公司完成了海外多个区域/国家的产品认证，产品认可度及美誉度不断提高，全球品牌影响力不断增强，迅速跻身为区域内主力供应商之一</w:t>
            </w:r>
            <w:r w:rsidR="00D612D6">
              <w:rPr>
                <w:rFonts w:ascii="宋体" w:hint="eastAsia"/>
                <w:bCs/>
                <w:iCs/>
                <w:sz w:val="24"/>
                <w:szCs w:val="24"/>
              </w:rPr>
              <w:t>。</w:t>
            </w:r>
            <w:r w:rsidR="003321F7">
              <w:rPr>
                <w:rFonts w:ascii="宋体" w:hint="eastAsia"/>
                <w:bCs/>
                <w:iCs/>
                <w:sz w:val="24"/>
                <w:szCs w:val="24"/>
              </w:rPr>
              <w:t>公司</w:t>
            </w:r>
            <w:r w:rsidR="003321F7">
              <w:rPr>
                <w:rFonts w:ascii="宋体"/>
                <w:bCs/>
                <w:iCs/>
                <w:sz w:val="24"/>
                <w:szCs w:val="24"/>
              </w:rPr>
              <w:t>销售团队</w:t>
            </w:r>
            <w:r w:rsidR="003321F7">
              <w:rPr>
                <w:rFonts w:ascii="宋体" w:hint="eastAsia"/>
                <w:bCs/>
                <w:iCs/>
                <w:sz w:val="24"/>
                <w:szCs w:val="24"/>
              </w:rPr>
              <w:t>对所有客户及订单进行跟踪管理并</w:t>
            </w:r>
            <w:r w:rsidR="003321F7">
              <w:rPr>
                <w:rFonts w:ascii="宋体"/>
                <w:bCs/>
                <w:iCs/>
                <w:sz w:val="24"/>
                <w:szCs w:val="24"/>
              </w:rPr>
              <w:t>提供</w:t>
            </w:r>
            <w:r w:rsidR="003321F7" w:rsidRPr="003321F7">
              <w:rPr>
                <w:rFonts w:ascii="宋体" w:hint="eastAsia"/>
                <w:bCs/>
                <w:iCs/>
                <w:sz w:val="24"/>
                <w:szCs w:val="24"/>
              </w:rPr>
              <w:t>售前售后支持，增强客户粘性，</w:t>
            </w:r>
            <w:r w:rsidR="0064652E">
              <w:rPr>
                <w:rFonts w:ascii="宋体" w:hint="eastAsia"/>
                <w:bCs/>
                <w:iCs/>
                <w:sz w:val="24"/>
                <w:szCs w:val="24"/>
              </w:rPr>
              <w:t>极大</w:t>
            </w:r>
            <w:r w:rsidR="003321F7" w:rsidRPr="003321F7">
              <w:rPr>
                <w:rFonts w:ascii="宋体" w:hint="eastAsia"/>
                <w:bCs/>
                <w:iCs/>
                <w:sz w:val="24"/>
                <w:szCs w:val="24"/>
              </w:rPr>
              <w:t>提高</w:t>
            </w:r>
            <w:r w:rsidR="003321F7">
              <w:rPr>
                <w:rFonts w:ascii="宋体" w:hint="eastAsia"/>
                <w:bCs/>
                <w:iCs/>
                <w:sz w:val="24"/>
                <w:szCs w:val="24"/>
              </w:rPr>
              <w:t>了</w:t>
            </w:r>
            <w:r w:rsidR="003321F7" w:rsidRPr="003321F7">
              <w:rPr>
                <w:rFonts w:ascii="宋体" w:hint="eastAsia"/>
                <w:bCs/>
                <w:iCs/>
                <w:sz w:val="24"/>
                <w:szCs w:val="24"/>
              </w:rPr>
              <w:t>海外市场的利润贡献度。</w:t>
            </w:r>
          </w:p>
          <w:p w14:paraId="40609886" w14:textId="562A76D1" w:rsidR="00D612D6" w:rsidRDefault="00F53E65" w:rsidP="00877BE8">
            <w:pPr>
              <w:spacing w:line="480" w:lineRule="atLeast"/>
              <w:rPr>
                <w:rFonts w:ascii="宋体"/>
                <w:bCs/>
                <w:iCs/>
                <w:sz w:val="24"/>
                <w:szCs w:val="24"/>
              </w:rPr>
            </w:pPr>
            <w:r>
              <w:rPr>
                <w:rFonts w:ascii="宋体" w:hint="eastAsia"/>
                <w:bCs/>
                <w:iCs/>
                <w:sz w:val="24"/>
                <w:szCs w:val="24"/>
              </w:rPr>
              <w:t>2、2018年</w:t>
            </w:r>
            <w:r>
              <w:rPr>
                <w:rFonts w:ascii="宋体"/>
                <w:bCs/>
                <w:iCs/>
                <w:sz w:val="24"/>
                <w:szCs w:val="24"/>
              </w:rPr>
              <w:t>公司营业收入降低</w:t>
            </w:r>
            <w:r>
              <w:rPr>
                <w:rFonts w:ascii="宋体" w:hint="eastAsia"/>
                <w:bCs/>
                <w:iCs/>
                <w:sz w:val="24"/>
                <w:szCs w:val="24"/>
              </w:rPr>
              <w:t>了</w:t>
            </w:r>
            <w:r>
              <w:rPr>
                <w:rFonts w:ascii="宋体"/>
                <w:bCs/>
                <w:iCs/>
                <w:sz w:val="24"/>
                <w:szCs w:val="24"/>
              </w:rPr>
              <w:t>，但是净利润</w:t>
            </w:r>
            <w:r>
              <w:rPr>
                <w:rFonts w:ascii="宋体" w:hint="eastAsia"/>
                <w:bCs/>
                <w:iCs/>
                <w:sz w:val="24"/>
                <w:szCs w:val="24"/>
              </w:rPr>
              <w:t>却增加</w:t>
            </w:r>
            <w:r>
              <w:rPr>
                <w:rFonts w:ascii="宋体"/>
                <w:bCs/>
                <w:iCs/>
                <w:sz w:val="24"/>
                <w:szCs w:val="24"/>
              </w:rPr>
              <w:t>了，主要原因是什么？</w:t>
            </w:r>
          </w:p>
          <w:p w14:paraId="54C810DD" w14:textId="3A42C49A" w:rsidR="00D612D6" w:rsidRDefault="00101C75" w:rsidP="00877BE8">
            <w:pPr>
              <w:spacing w:line="480" w:lineRule="atLeast"/>
              <w:rPr>
                <w:rFonts w:ascii="宋体"/>
                <w:bCs/>
                <w:iCs/>
                <w:sz w:val="24"/>
                <w:szCs w:val="24"/>
              </w:rPr>
            </w:pPr>
            <w:r>
              <w:rPr>
                <w:rFonts w:ascii="宋体" w:hint="eastAsia"/>
                <w:bCs/>
                <w:iCs/>
                <w:sz w:val="24"/>
                <w:szCs w:val="24"/>
              </w:rPr>
              <w:t>答复</w:t>
            </w:r>
            <w:r>
              <w:rPr>
                <w:rFonts w:ascii="宋体"/>
                <w:bCs/>
                <w:iCs/>
                <w:sz w:val="24"/>
                <w:szCs w:val="24"/>
              </w:rPr>
              <w:t>：</w:t>
            </w:r>
            <w:r w:rsidR="0064652E">
              <w:rPr>
                <w:rFonts w:ascii="宋体" w:hint="eastAsia"/>
                <w:bCs/>
                <w:iCs/>
                <w:sz w:val="24"/>
                <w:szCs w:val="24"/>
              </w:rPr>
              <w:t>公司2018年组件</w:t>
            </w:r>
            <w:r w:rsidR="0064652E">
              <w:rPr>
                <w:rFonts w:ascii="宋体"/>
                <w:bCs/>
                <w:iCs/>
                <w:sz w:val="24"/>
                <w:szCs w:val="24"/>
              </w:rPr>
              <w:t>出货量4.56</w:t>
            </w:r>
            <w:r w:rsidR="0064652E">
              <w:rPr>
                <w:rFonts w:ascii="宋体" w:hint="eastAsia"/>
                <w:bCs/>
                <w:iCs/>
                <w:sz w:val="24"/>
                <w:szCs w:val="24"/>
              </w:rPr>
              <w:t>GW，</w:t>
            </w:r>
            <w:r w:rsidR="0064652E">
              <w:rPr>
                <w:rFonts w:ascii="宋体"/>
                <w:bCs/>
                <w:iCs/>
                <w:sz w:val="24"/>
                <w:szCs w:val="24"/>
              </w:rPr>
              <w:t>与</w:t>
            </w:r>
            <w:r w:rsidR="0064652E">
              <w:rPr>
                <w:rFonts w:ascii="宋体" w:hint="eastAsia"/>
                <w:bCs/>
                <w:iCs/>
                <w:sz w:val="24"/>
                <w:szCs w:val="24"/>
              </w:rPr>
              <w:t>2017年</w:t>
            </w:r>
            <w:r w:rsidR="0064652E">
              <w:rPr>
                <w:rFonts w:ascii="宋体"/>
                <w:bCs/>
                <w:iCs/>
                <w:sz w:val="24"/>
                <w:szCs w:val="24"/>
              </w:rPr>
              <w:t>基本持平。</w:t>
            </w:r>
            <w:r w:rsidR="0064652E">
              <w:rPr>
                <w:rFonts w:ascii="宋体" w:hint="eastAsia"/>
                <w:bCs/>
                <w:iCs/>
                <w:sz w:val="24"/>
                <w:szCs w:val="24"/>
              </w:rPr>
              <w:t>受国内</w:t>
            </w:r>
            <w:r w:rsidR="0064652E" w:rsidRPr="0064652E">
              <w:rPr>
                <w:rFonts w:ascii="宋体"/>
                <w:bCs/>
                <w:iCs/>
                <w:sz w:val="24"/>
                <w:szCs w:val="24"/>
              </w:rPr>
              <w:t>“</w:t>
            </w:r>
            <w:r w:rsidR="0064652E" w:rsidRPr="0064652E">
              <w:rPr>
                <w:rFonts w:ascii="宋体"/>
                <w:bCs/>
                <w:iCs/>
                <w:sz w:val="24"/>
                <w:szCs w:val="24"/>
              </w:rPr>
              <w:t>531</w:t>
            </w:r>
            <w:r w:rsidR="0064652E" w:rsidRPr="0064652E">
              <w:rPr>
                <w:rFonts w:ascii="宋体" w:hint="eastAsia"/>
                <w:bCs/>
                <w:iCs/>
                <w:sz w:val="24"/>
                <w:szCs w:val="24"/>
              </w:rPr>
              <w:t>光伏新政</w:t>
            </w:r>
            <w:r w:rsidR="0064652E" w:rsidRPr="0064652E">
              <w:rPr>
                <w:rFonts w:ascii="宋体"/>
                <w:bCs/>
                <w:iCs/>
                <w:sz w:val="24"/>
                <w:szCs w:val="24"/>
              </w:rPr>
              <w:t>”</w:t>
            </w:r>
            <w:r w:rsidR="0064652E">
              <w:rPr>
                <w:rFonts w:ascii="宋体" w:hint="eastAsia"/>
                <w:bCs/>
                <w:iCs/>
                <w:sz w:val="24"/>
                <w:szCs w:val="24"/>
              </w:rPr>
              <w:t>影响，</w:t>
            </w:r>
            <w:r w:rsidR="0064652E" w:rsidRPr="0064652E">
              <w:rPr>
                <w:rFonts w:ascii="宋体" w:hint="eastAsia"/>
                <w:bCs/>
                <w:iCs/>
                <w:sz w:val="24"/>
                <w:szCs w:val="24"/>
              </w:rPr>
              <w:t>国内</w:t>
            </w:r>
            <w:r w:rsidR="0064652E">
              <w:rPr>
                <w:rFonts w:ascii="宋体" w:hint="eastAsia"/>
                <w:bCs/>
                <w:iCs/>
                <w:sz w:val="24"/>
                <w:szCs w:val="24"/>
              </w:rPr>
              <w:t>组件</w:t>
            </w:r>
            <w:r w:rsidR="0064652E" w:rsidRPr="0064652E">
              <w:rPr>
                <w:rFonts w:ascii="宋体" w:hint="eastAsia"/>
                <w:bCs/>
                <w:iCs/>
                <w:sz w:val="24"/>
                <w:szCs w:val="24"/>
              </w:rPr>
              <w:t>需求锐减，</w:t>
            </w:r>
            <w:r w:rsidR="0064652E">
              <w:rPr>
                <w:rFonts w:ascii="宋体" w:hint="eastAsia"/>
                <w:bCs/>
                <w:iCs/>
                <w:sz w:val="24"/>
                <w:szCs w:val="24"/>
              </w:rPr>
              <w:t>量价齐跌。</w:t>
            </w:r>
            <w:r w:rsidR="0064652E" w:rsidRPr="0064652E">
              <w:rPr>
                <w:rFonts w:ascii="宋体" w:hint="eastAsia"/>
                <w:bCs/>
                <w:iCs/>
                <w:sz w:val="24"/>
                <w:szCs w:val="24"/>
              </w:rPr>
              <w:t>公司始终坚持以市场为导向，以客户为中心，以科技为驱动，以人才为依托，规范运作，稳健经营，紧盯收益率，严控负债率，确保现金流等关键性财务指标，全方位提升经营效能，推动公司向精细化、效益化方向发展。</w:t>
            </w:r>
            <w:r w:rsidR="00BE1C16">
              <w:rPr>
                <w:rFonts w:ascii="宋体" w:hint="eastAsia"/>
                <w:bCs/>
                <w:iCs/>
                <w:sz w:val="24"/>
                <w:szCs w:val="24"/>
              </w:rPr>
              <w:t>公司</w:t>
            </w:r>
            <w:r w:rsidR="00BE1C16">
              <w:rPr>
                <w:rFonts w:ascii="宋体"/>
                <w:bCs/>
                <w:iCs/>
                <w:sz w:val="24"/>
                <w:szCs w:val="24"/>
              </w:rPr>
              <w:t>坚持</w:t>
            </w:r>
            <w:r w:rsidR="0064652E" w:rsidRPr="0064652E">
              <w:rPr>
                <w:rFonts w:ascii="宋体"/>
                <w:bCs/>
                <w:iCs/>
                <w:sz w:val="24"/>
                <w:szCs w:val="24"/>
              </w:rPr>
              <w:t>“</w:t>
            </w:r>
            <w:r w:rsidR="0064652E" w:rsidRPr="0064652E">
              <w:rPr>
                <w:rFonts w:ascii="宋体" w:hint="eastAsia"/>
                <w:bCs/>
                <w:iCs/>
                <w:sz w:val="24"/>
                <w:szCs w:val="24"/>
              </w:rPr>
              <w:t>光伏国际化</w:t>
            </w:r>
            <w:r w:rsidR="0064652E" w:rsidRPr="0064652E">
              <w:rPr>
                <w:rFonts w:ascii="宋体"/>
                <w:bCs/>
                <w:iCs/>
                <w:sz w:val="24"/>
                <w:szCs w:val="24"/>
              </w:rPr>
              <w:t>”</w:t>
            </w:r>
            <w:r w:rsidR="0064652E" w:rsidRPr="0064652E">
              <w:rPr>
                <w:rFonts w:ascii="宋体" w:hint="eastAsia"/>
                <w:bCs/>
                <w:iCs/>
                <w:sz w:val="24"/>
                <w:szCs w:val="24"/>
              </w:rPr>
              <w:t>战略</w:t>
            </w:r>
            <w:r w:rsidR="00BE1C16">
              <w:rPr>
                <w:rFonts w:ascii="宋体" w:hint="eastAsia"/>
                <w:bCs/>
                <w:iCs/>
                <w:sz w:val="24"/>
                <w:szCs w:val="24"/>
              </w:rPr>
              <w:t>，</w:t>
            </w:r>
            <w:r w:rsidR="0064652E" w:rsidRPr="0064652E">
              <w:rPr>
                <w:rFonts w:ascii="宋体" w:hint="eastAsia"/>
                <w:bCs/>
                <w:iCs/>
                <w:sz w:val="24"/>
                <w:szCs w:val="24"/>
              </w:rPr>
              <w:t>深耕海外市场</w:t>
            </w:r>
            <w:r w:rsidR="00BE1C16">
              <w:rPr>
                <w:rFonts w:ascii="宋体" w:hint="eastAsia"/>
                <w:bCs/>
                <w:iCs/>
                <w:sz w:val="24"/>
                <w:szCs w:val="24"/>
              </w:rPr>
              <w:t>，</w:t>
            </w:r>
            <w:r w:rsidR="0064652E" w:rsidRPr="0064652E">
              <w:rPr>
                <w:rFonts w:ascii="宋体" w:hint="eastAsia"/>
                <w:bCs/>
                <w:iCs/>
                <w:sz w:val="24"/>
                <w:szCs w:val="24"/>
              </w:rPr>
              <w:t>海外业务同比翻番，极大缓解国内光</w:t>
            </w:r>
            <w:proofErr w:type="gramStart"/>
            <w:r w:rsidR="0064652E" w:rsidRPr="0064652E">
              <w:rPr>
                <w:rFonts w:ascii="宋体" w:hint="eastAsia"/>
                <w:bCs/>
                <w:iCs/>
                <w:sz w:val="24"/>
                <w:szCs w:val="24"/>
              </w:rPr>
              <w:t>伏政策</w:t>
            </w:r>
            <w:proofErr w:type="gramEnd"/>
            <w:r w:rsidR="0064652E" w:rsidRPr="0064652E">
              <w:rPr>
                <w:rFonts w:ascii="宋体" w:hint="eastAsia"/>
                <w:bCs/>
                <w:iCs/>
                <w:sz w:val="24"/>
                <w:szCs w:val="24"/>
              </w:rPr>
              <w:t>波动对于公司业绩的影响，为公司业务发展及业绩增长打下了坚实基础；公司组件生产基地产能稳定，出货量同比基本持平；徐州</w:t>
            </w:r>
            <w:proofErr w:type="gramStart"/>
            <w:r w:rsidR="0064652E" w:rsidRPr="0064652E">
              <w:rPr>
                <w:rFonts w:ascii="宋体" w:hint="eastAsia"/>
                <w:bCs/>
                <w:iCs/>
                <w:sz w:val="24"/>
                <w:szCs w:val="24"/>
              </w:rPr>
              <w:t>鑫</w:t>
            </w:r>
            <w:proofErr w:type="gramEnd"/>
            <w:r w:rsidR="0064652E" w:rsidRPr="0064652E">
              <w:rPr>
                <w:rFonts w:ascii="宋体" w:hint="eastAsia"/>
                <w:bCs/>
                <w:iCs/>
                <w:sz w:val="24"/>
                <w:szCs w:val="24"/>
              </w:rPr>
              <w:t>宇及越南电池生产基地产量稳步提升，高效电池转化效率进一步提高，为公司高效组件产品提供战略支援；能源工程国内海外共同发力，</w:t>
            </w:r>
            <w:r w:rsidR="0064652E" w:rsidRPr="0064652E">
              <w:rPr>
                <w:rFonts w:ascii="宋体"/>
                <w:bCs/>
                <w:iCs/>
                <w:sz w:val="24"/>
                <w:szCs w:val="24"/>
              </w:rPr>
              <w:t>EPC</w:t>
            </w:r>
            <w:r w:rsidR="0064652E" w:rsidRPr="0064652E">
              <w:rPr>
                <w:rFonts w:ascii="宋体" w:hint="eastAsia"/>
                <w:bCs/>
                <w:iCs/>
                <w:sz w:val="24"/>
                <w:szCs w:val="24"/>
              </w:rPr>
              <w:t>中标及并网量稳步增长，成为公司重要利润来源；公司通过积极谈判、主动诉讼及抵账等措施，应收账款余额大幅下降，经营现金流量净额大幅增加，公司的经营性现金</w:t>
            </w:r>
            <w:proofErr w:type="gramStart"/>
            <w:r w:rsidR="0064652E" w:rsidRPr="0064652E">
              <w:rPr>
                <w:rFonts w:ascii="宋体" w:hint="eastAsia"/>
                <w:bCs/>
                <w:iCs/>
                <w:sz w:val="24"/>
                <w:szCs w:val="24"/>
              </w:rPr>
              <w:t>流保持</w:t>
            </w:r>
            <w:proofErr w:type="gramEnd"/>
            <w:r w:rsidR="0064652E" w:rsidRPr="0064652E">
              <w:rPr>
                <w:rFonts w:ascii="宋体" w:hint="eastAsia"/>
                <w:bCs/>
                <w:iCs/>
                <w:sz w:val="24"/>
                <w:szCs w:val="24"/>
              </w:rPr>
              <w:t>全行业领先。公司通过战略经营思维进行财务管理把控，在成本管理能力、存货周转能力、应收账款周转等方面均得到进一步提升，在全行业产品价格大幅下跌的前提下，公司毛利率水平不降反升，营业利润较去年同期大幅增长，资产质量稳步提高。</w:t>
            </w:r>
            <w:r w:rsidR="0064652E" w:rsidDel="0064652E">
              <w:rPr>
                <w:rFonts w:ascii="宋体" w:hint="eastAsia"/>
                <w:bCs/>
                <w:iCs/>
                <w:sz w:val="24"/>
                <w:szCs w:val="24"/>
              </w:rPr>
              <w:t xml:space="preserve"> </w:t>
            </w:r>
          </w:p>
          <w:p w14:paraId="436CC78E" w14:textId="668C15CD" w:rsidR="00101C75" w:rsidRDefault="00101C75" w:rsidP="00877BE8">
            <w:pPr>
              <w:spacing w:line="480" w:lineRule="atLeast"/>
              <w:rPr>
                <w:rFonts w:ascii="宋体"/>
                <w:bCs/>
                <w:iCs/>
                <w:sz w:val="24"/>
                <w:szCs w:val="24"/>
              </w:rPr>
            </w:pPr>
            <w:r>
              <w:rPr>
                <w:rFonts w:ascii="宋体"/>
                <w:bCs/>
                <w:iCs/>
                <w:sz w:val="24"/>
                <w:szCs w:val="24"/>
              </w:rPr>
              <w:t>3</w:t>
            </w:r>
            <w:r>
              <w:rPr>
                <w:rFonts w:ascii="宋体" w:hint="eastAsia"/>
                <w:bCs/>
                <w:iCs/>
                <w:sz w:val="24"/>
                <w:szCs w:val="24"/>
              </w:rPr>
              <w:t>、</w:t>
            </w:r>
            <w:r w:rsidR="00074E2F">
              <w:rPr>
                <w:rFonts w:ascii="宋体" w:hint="eastAsia"/>
                <w:bCs/>
                <w:iCs/>
                <w:sz w:val="24"/>
                <w:szCs w:val="24"/>
              </w:rPr>
              <w:t>公司</w:t>
            </w:r>
            <w:r w:rsidR="00074E2F">
              <w:rPr>
                <w:rFonts w:ascii="宋体"/>
                <w:bCs/>
                <w:iCs/>
                <w:sz w:val="24"/>
                <w:szCs w:val="24"/>
              </w:rPr>
              <w:t>电池</w:t>
            </w:r>
            <w:r w:rsidR="00074E2F">
              <w:rPr>
                <w:rFonts w:ascii="宋体" w:hint="eastAsia"/>
                <w:bCs/>
                <w:iCs/>
                <w:sz w:val="24"/>
                <w:szCs w:val="24"/>
              </w:rPr>
              <w:t>目前</w:t>
            </w:r>
            <w:r w:rsidR="00074E2F">
              <w:rPr>
                <w:rFonts w:ascii="宋体"/>
                <w:bCs/>
                <w:iCs/>
                <w:sz w:val="24"/>
                <w:szCs w:val="24"/>
              </w:rPr>
              <w:t>有多少产能？其中</w:t>
            </w:r>
            <w:r w:rsidR="00074E2F">
              <w:rPr>
                <w:rFonts w:ascii="宋体" w:hint="eastAsia"/>
                <w:bCs/>
                <w:iCs/>
                <w:sz w:val="24"/>
                <w:szCs w:val="24"/>
              </w:rPr>
              <w:t>有多少</w:t>
            </w:r>
            <w:r w:rsidR="00074E2F">
              <w:rPr>
                <w:rFonts w:ascii="宋体"/>
                <w:bCs/>
                <w:iCs/>
                <w:sz w:val="24"/>
                <w:szCs w:val="24"/>
              </w:rPr>
              <w:t>是</w:t>
            </w:r>
            <w:r w:rsidR="00074E2F">
              <w:rPr>
                <w:rFonts w:ascii="宋体" w:hint="eastAsia"/>
                <w:bCs/>
                <w:iCs/>
                <w:sz w:val="24"/>
                <w:szCs w:val="24"/>
              </w:rPr>
              <w:t>PERC电池</w:t>
            </w:r>
            <w:r w:rsidR="00074E2F">
              <w:rPr>
                <w:rFonts w:ascii="宋体"/>
                <w:bCs/>
                <w:iCs/>
                <w:sz w:val="24"/>
                <w:szCs w:val="24"/>
              </w:rPr>
              <w:t>？</w:t>
            </w:r>
          </w:p>
          <w:p w14:paraId="272D3629" w14:textId="610AC172" w:rsidR="00074E2F" w:rsidRPr="00101C75" w:rsidRDefault="00074E2F" w:rsidP="00877BE8">
            <w:pPr>
              <w:spacing w:line="480" w:lineRule="atLeast"/>
              <w:rPr>
                <w:rFonts w:ascii="宋体"/>
                <w:bCs/>
                <w:iCs/>
                <w:sz w:val="24"/>
                <w:szCs w:val="24"/>
              </w:rPr>
            </w:pPr>
            <w:r>
              <w:rPr>
                <w:rFonts w:ascii="宋体" w:hint="eastAsia"/>
                <w:bCs/>
                <w:iCs/>
                <w:sz w:val="24"/>
                <w:szCs w:val="24"/>
              </w:rPr>
              <w:lastRenderedPageBreak/>
              <w:t>答复</w:t>
            </w:r>
            <w:r>
              <w:rPr>
                <w:rFonts w:ascii="宋体"/>
                <w:bCs/>
                <w:iCs/>
                <w:sz w:val="24"/>
                <w:szCs w:val="24"/>
              </w:rPr>
              <w:t>：</w:t>
            </w:r>
            <w:r w:rsidR="00BE1C16">
              <w:rPr>
                <w:rFonts w:ascii="宋体" w:hint="eastAsia"/>
                <w:bCs/>
                <w:iCs/>
                <w:sz w:val="24"/>
                <w:szCs w:val="24"/>
              </w:rPr>
              <w:t>公司</w:t>
            </w:r>
            <w:r w:rsidR="00E96630" w:rsidRPr="00E96630">
              <w:rPr>
                <w:rFonts w:ascii="宋体" w:hint="eastAsia"/>
                <w:bCs/>
                <w:iCs/>
                <w:sz w:val="24"/>
                <w:szCs w:val="24"/>
              </w:rPr>
              <w:t>目前</w:t>
            </w:r>
            <w:r w:rsidR="00E96630">
              <w:rPr>
                <w:rFonts w:ascii="宋体" w:hint="eastAsia"/>
                <w:bCs/>
                <w:iCs/>
                <w:sz w:val="24"/>
                <w:szCs w:val="24"/>
              </w:rPr>
              <w:t>拥有</w:t>
            </w:r>
            <w:r w:rsidR="00E96630" w:rsidRPr="00E96630">
              <w:rPr>
                <w:rFonts w:ascii="宋体" w:hint="eastAsia"/>
                <w:bCs/>
                <w:iCs/>
                <w:sz w:val="24"/>
                <w:szCs w:val="24"/>
              </w:rPr>
              <w:t>超过2.6GW电池产能，且均为单多晶兼容的PERC电池产能。</w:t>
            </w:r>
          </w:p>
          <w:p w14:paraId="7AB3FE23" w14:textId="494CBF9D" w:rsidR="00EE3114" w:rsidRDefault="00870139" w:rsidP="00877BE8">
            <w:pPr>
              <w:spacing w:line="480" w:lineRule="atLeast"/>
              <w:rPr>
                <w:rFonts w:ascii="宋体"/>
                <w:bCs/>
                <w:iCs/>
                <w:sz w:val="24"/>
                <w:szCs w:val="24"/>
              </w:rPr>
            </w:pPr>
            <w:r>
              <w:rPr>
                <w:rFonts w:ascii="宋体"/>
                <w:bCs/>
                <w:iCs/>
                <w:sz w:val="24"/>
                <w:szCs w:val="24"/>
              </w:rPr>
              <w:t>4</w:t>
            </w:r>
            <w:r w:rsidR="00EE3114">
              <w:rPr>
                <w:rFonts w:ascii="宋体" w:hint="eastAsia"/>
                <w:bCs/>
                <w:iCs/>
                <w:sz w:val="24"/>
                <w:szCs w:val="24"/>
              </w:rPr>
              <w:t>、公司</w:t>
            </w:r>
            <w:r w:rsidR="00EE3114">
              <w:rPr>
                <w:rFonts w:ascii="宋体"/>
                <w:bCs/>
                <w:iCs/>
                <w:sz w:val="24"/>
                <w:szCs w:val="24"/>
              </w:rPr>
              <w:t>的</w:t>
            </w:r>
            <w:proofErr w:type="gramStart"/>
            <w:r w:rsidR="00EE3114">
              <w:rPr>
                <w:rFonts w:ascii="宋体"/>
                <w:bCs/>
                <w:iCs/>
                <w:sz w:val="24"/>
                <w:szCs w:val="24"/>
              </w:rPr>
              <w:t>鑫</w:t>
            </w:r>
            <w:proofErr w:type="gramEnd"/>
            <w:r w:rsidR="00EE3114">
              <w:rPr>
                <w:rFonts w:ascii="宋体"/>
                <w:bCs/>
                <w:iCs/>
                <w:sz w:val="24"/>
                <w:szCs w:val="24"/>
              </w:rPr>
              <w:t>单晶电池转换效率目前能达多少？</w:t>
            </w:r>
            <w:r w:rsidR="00EE3114">
              <w:rPr>
                <w:rFonts w:ascii="宋体" w:hint="eastAsia"/>
                <w:bCs/>
                <w:iCs/>
                <w:sz w:val="24"/>
                <w:szCs w:val="24"/>
              </w:rPr>
              <w:t>跟</w:t>
            </w:r>
            <w:r w:rsidR="00EE3114">
              <w:rPr>
                <w:rFonts w:ascii="宋体"/>
                <w:bCs/>
                <w:iCs/>
                <w:sz w:val="24"/>
                <w:szCs w:val="24"/>
              </w:rPr>
              <w:t>单晶电池</w:t>
            </w:r>
            <w:r w:rsidR="003E61D2">
              <w:rPr>
                <w:rFonts w:ascii="宋体" w:hint="eastAsia"/>
                <w:bCs/>
                <w:iCs/>
                <w:sz w:val="24"/>
                <w:szCs w:val="24"/>
              </w:rPr>
              <w:t>相比如何</w:t>
            </w:r>
            <w:r w:rsidR="00EE3114">
              <w:rPr>
                <w:rFonts w:ascii="宋体"/>
                <w:bCs/>
                <w:iCs/>
                <w:sz w:val="24"/>
                <w:szCs w:val="24"/>
              </w:rPr>
              <w:t>？</w:t>
            </w:r>
          </w:p>
          <w:p w14:paraId="11505AAF" w14:textId="7A02B2D1" w:rsidR="001A4D34" w:rsidRDefault="001A4D34" w:rsidP="00877BE8">
            <w:pPr>
              <w:spacing w:line="480" w:lineRule="atLeast"/>
              <w:rPr>
                <w:rFonts w:ascii="宋体"/>
                <w:bCs/>
                <w:iCs/>
                <w:sz w:val="24"/>
                <w:szCs w:val="24"/>
              </w:rPr>
            </w:pPr>
            <w:r>
              <w:rPr>
                <w:rFonts w:ascii="宋体" w:hint="eastAsia"/>
                <w:bCs/>
                <w:iCs/>
                <w:sz w:val="24"/>
                <w:szCs w:val="24"/>
              </w:rPr>
              <w:t>答复</w:t>
            </w:r>
            <w:r>
              <w:rPr>
                <w:rFonts w:ascii="宋体"/>
                <w:bCs/>
                <w:iCs/>
                <w:sz w:val="24"/>
                <w:szCs w:val="24"/>
              </w:rPr>
              <w:t>：</w:t>
            </w:r>
            <w:r w:rsidR="00E96630" w:rsidRPr="00E96630">
              <w:rPr>
                <w:rFonts w:ascii="宋体" w:hint="eastAsia"/>
                <w:bCs/>
                <w:iCs/>
                <w:sz w:val="24"/>
                <w:szCs w:val="24"/>
              </w:rPr>
              <w:t>目前</w:t>
            </w:r>
            <w:proofErr w:type="gramStart"/>
            <w:r w:rsidR="00E96630" w:rsidRPr="00E96630">
              <w:rPr>
                <w:rFonts w:ascii="宋体" w:hint="eastAsia"/>
                <w:bCs/>
                <w:iCs/>
                <w:sz w:val="24"/>
                <w:szCs w:val="24"/>
              </w:rPr>
              <w:t>鑫</w:t>
            </w:r>
            <w:proofErr w:type="gramEnd"/>
            <w:r w:rsidR="00E96630" w:rsidRPr="00E96630">
              <w:rPr>
                <w:rFonts w:ascii="宋体" w:hint="eastAsia"/>
                <w:bCs/>
                <w:iCs/>
                <w:sz w:val="24"/>
                <w:szCs w:val="24"/>
              </w:rPr>
              <w:t>单晶量产电池测试效率超过21.8%，与主流单晶电池效率基本持平。</w:t>
            </w:r>
          </w:p>
          <w:p w14:paraId="6CF9E5A5" w14:textId="1541E611" w:rsidR="00232C28" w:rsidRDefault="00870139" w:rsidP="00877BE8">
            <w:pPr>
              <w:spacing w:line="480" w:lineRule="atLeast"/>
              <w:rPr>
                <w:rFonts w:ascii="宋体"/>
                <w:bCs/>
                <w:iCs/>
                <w:sz w:val="24"/>
                <w:szCs w:val="24"/>
              </w:rPr>
            </w:pPr>
            <w:r>
              <w:rPr>
                <w:rFonts w:ascii="宋体"/>
                <w:bCs/>
                <w:iCs/>
                <w:sz w:val="24"/>
                <w:szCs w:val="24"/>
              </w:rPr>
              <w:t>5</w:t>
            </w:r>
            <w:r w:rsidR="00232C28">
              <w:rPr>
                <w:rFonts w:ascii="宋体" w:hint="eastAsia"/>
                <w:bCs/>
                <w:iCs/>
                <w:sz w:val="24"/>
                <w:szCs w:val="24"/>
              </w:rPr>
              <w:t>、</w:t>
            </w:r>
            <w:r w:rsidR="003F2AE2">
              <w:rPr>
                <w:rFonts w:ascii="宋体" w:hint="eastAsia"/>
                <w:bCs/>
                <w:iCs/>
                <w:sz w:val="24"/>
                <w:szCs w:val="24"/>
              </w:rPr>
              <w:t>公司</w:t>
            </w:r>
            <w:proofErr w:type="gramStart"/>
            <w:r w:rsidR="003F2AE2">
              <w:rPr>
                <w:rFonts w:ascii="宋体"/>
                <w:bCs/>
                <w:iCs/>
                <w:sz w:val="24"/>
                <w:szCs w:val="24"/>
              </w:rPr>
              <w:t>鑫</w:t>
            </w:r>
            <w:proofErr w:type="gramEnd"/>
            <w:r w:rsidR="003F2AE2">
              <w:rPr>
                <w:rFonts w:ascii="宋体"/>
                <w:bCs/>
                <w:iCs/>
                <w:sz w:val="24"/>
                <w:szCs w:val="24"/>
              </w:rPr>
              <w:t>单晶组件的</w:t>
            </w:r>
            <w:r w:rsidR="003F2AE2">
              <w:rPr>
                <w:rFonts w:ascii="宋体" w:hint="eastAsia"/>
                <w:bCs/>
                <w:iCs/>
                <w:sz w:val="24"/>
                <w:szCs w:val="24"/>
              </w:rPr>
              <w:t>客户</w:t>
            </w:r>
            <w:r w:rsidR="003F2AE2">
              <w:rPr>
                <w:rFonts w:ascii="宋体"/>
                <w:bCs/>
                <w:iCs/>
                <w:sz w:val="24"/>
                <w:szCs w:val="24"/>
              </w:rPr>
              <w:t>接受度怎么样？</w:t>
            </w:r>
          </w:p>
          <w:p w14:paraId="4DC13F49" w14:textId="1C28708D" w:rsidR="003F2AE2" w:rsidRDefault="003F2AE2" w:rsidP="00877BE8">
            <w:pPr>
              <w:spacing w:line="480" w:lineRule="atLeast"/>
              <w:rPr>
                <w:rFonts w:ascii="宋体"/>
                <w:bCs/>
                <w:iCs/>
                <w:sz w:val="24"/>
                <w:szCs w:val="24"/>
              </w:rPr>
            </w:pPr>
            <w:r>
              <w:rPr>
                <w:rFonts w:ascii="宋体" w:hint="eastAsia"/>
                <w:bCs/>
                <w:iCs/>
                <w:sz w:val="24"/>
                <w:szCs w:val="24"/>
              </w:rPr>
              <w:t>答复；</w:t>
            </w:r>
            <w:proofErr w:type="gramStart"/>
            <w:r>
              <w:rPr>
                <w:rFonts w:ascii="宋体"/>
                <w:bCs/>
                <w:iCs/>
                <w:sz w:val="24"/>
                <w:szCs w:val="24"/>
              </w:rPr>
              <w:t>鑫</w:t>
            </w:r>
            <w:proofErr w:type="gramEnd"/>
            <w:r>
              <w:rPr>
                <w:rFonts w:ascii="宋体"/>
                <w:bCs/>
                <w:iCs/>
                <w:sz w:val="24"/>
                <w:szCs w:val="24"/>
              </w:rPr>
              <w:t>单晶组件的客户接受度比较高，目前公司</w:t>
            </w:r>
            <w:proofErr w:type="gramStart"/>
            <w:r>
              <w:rPr>
                <w:rFonts w:ascii="宋体"/>
                <w:bCs/>
                <w:iCs/>
                <w:sz w:val="24"/>
                <w:szCs w:val="24"/>
              </w:rPr>
              <w:t>鑫</w:t>
            </w:r>
            <w:proofErr w:type="gramEnd"/>
            <w:r>
              <w:rPr>
                <w:rFonts w:ascii="宋体"/>
                <w:bCs/>
                <w:iCs/>
                <w:sz w:val="24"/>
                <w:szCs w:val="24"/>
              </w:rPr>
              <w:t>单晶</w:t>
            </w:r>
            <w:r>
              <w:rPr>
                <w:rFonts w:ascii="宋体" w:hint="eastAsia"/>
                <w:bCs/>
                <w:iCs/>
                <w:sz w:val="24"/>
                <w:szCs w:val="24"/>
              </w:rPr>
              <w:t>组件的</w:t>
            </w:r>
            <w:r>
              <w:rPr>
                <w:rFonts w:ascii="宋体"/>
                <w:bCs/>
                <w:iCs/>
                <w:sz w:val="24"/>
                <w:szCs w:val="24"/>
              </w:rPr>
              <w:t>在手订单比较充裕，</w:t>
            </w:r>
            <w:r w:rsidRPr="003F2AE2">
              <w:rPr>
                <w:rFonts w:ascii="宋体" w:hint="eastAsia"/>
                <w:bCs/>
                <w:iCs/>
                <w:sz w:val="24"/>
                <w:szCs w:val="24"/>
              </w:rPr>
              <w:t>未来公司会进一步加大市场推广力度，提高</w:t>
            </w:r>
            <w:proofErr w:type="gramStart"/>
            <w:r w:rsidRPr="003F2AE2">
              <w:rPr>
                <w:rFonts w:ascii="宋体" w:hint="eastAsia"/>
                <w:bCs/>
                <w:iCs/>
                <w:sz w:val="24"/>
                <w:szCs w:val="24"/>
              </w:rPr>
              <w:t>鑫</w:t>
            </w:r>
            <w:proofErr w:type="gramEnd"/>
            <w:r w:rsidRPr="003F2AE2">
              <w:rPr>
                <w:rFonts w:ascii="宋体" w:hint="eastAsia"/>
                <w:bCs/>
                <w:iCs/>
                <w:sz w:val="24"/>
                <w:szCs w:val="24"/>
              </w:rPr>
              <w:t>单晶组件的市场接受程度。</w:t>
            </w:r>
          </w:p>
          <w:p w14:paraId="567296C1" w14:textId="28276837" w:rsidR="003F2AE2" w:rsidRDefault="00870139" w:rsidP="00877BE8">
            <w:pPr>
              <w:spacing w:line="480" w:lineRule="atLeast"/>
              <w:rPr>
                <w:rFonts w:ascii="宋体"/>
                <w:bCs/>
                <w:iCs/>
                <w:sz w:val="24"/>
                <w:szCs w:val="24"/>
              </w:rPr>
            </w:pPr>
            <w:r>
              <w:rPr>
                <w:rFonts w:ascii="宋体"/>
                <w:bCs/>
                <w:iCs/>
                <w:sz w:val="24"/>
                <w:szCs w:val="24"/>
              </w:rPr>
              <w:t>6</w:t>
            </w:r>
            <w:r w:rsidR="003F2AE2">
              <w:rPr>
                <w:rFonts w:ascii="宋体" w:hint="eastAsia"/>
                <w:bCs/>
                <w:iCs/>
                <w:sz w:val="24"/>
                <w:szCs w:val="24"/>
              </w:rPr>
              <w:t>、</w:t>
            </w:r>
            <w:r w:rsidR="00E125C1">
              <w:rPr>
                <w:rFonts w:ascii="宋体" w:hint="eastAsia"/>
                <w:bCs/>
                <w:iCs/>
                <w:sz w:val="24"/>
                <w:szCs w:val="24"/>
              </w:rPr>
              <w:t>公司今年</w:t>
            </w:r>
            <w:r w:rsidR="00E125C1">
              <w:rPr>
                <w:rFonts w:ascii="宋体"/>
                <w:bCs/>
                <w:iCs/>
                <w:sz w:val="24"/>
                <w:szCs w:val="24"/>
              </w:rPr>
              <w:t>的</w:t>
            </w:r>
            <w:r w:rsidR="00E125C1">
              <w:rPr>
                <w:rFonts w:ascii="宋体" w:hint="eastAsia"/>
                <w:bCs/>
                <w:iCs/>
                <w:sz w:val="24"/>
                <w:szCs w:val="24"/>
              </w:rPr>
              <w:t>EPC目标</w:t>
            </w:r>
            <w:r w:rsidR="00E125C1">
              <w:rPr>
                <w:rFonts w:ascii="宋体"/>
                <w:bCs/>
                <w:iCs/>
                <w:sz w:val="24"/>
                <w:szCs w:val="24"/>
              </w:rPr>
              <w:t>是多少？</w:t>
            </w:r>
          </w:p>
          <w:p w14:paraId="30BAC358" w14:textId="14766CC7" w:rsidR="00E125C1" w:rsidRDefault="00E125C1" w:rsidP="00877BE8">
            <w:pPr>
              <w:spacing w:line="480" w:lineRule="atLeast"/>
              <w:rPr>
                <w:rFonts w:ascii="宋体"/>
                <w:bCs/>
                <w:iCs/>
                <w:sz w:val="24"/>
                <w:szCs w:val="24"/>
              </w:rPr>
            </w:pPr>
            <w:r>
              <w:rPr>
                <w:rFonts w:ascii="宋体" w:hint="eastAsia"/>
                <w:bCs/>
                <w:iCs/>
                <w:sz w:val="24"/>
                <w:szCs w:val="24"/>
              </w:rPr>
              <w:t>答复</w:t>
            </w:r>
            <w:r>
              <w:rPr>
                <w:rFonts w:ascii="宋体"/>
                <w:bCs/>
                <w:iCs/>
                <w:sz w:val="24"/>
                <w:szCs w:val="24"/>
              </w:rPr>
              <w:t>：</w:t>
            </w:r>
            <w:r>
              <w:rPr>
                <w:rFonts w:ascii="宋体" w:hint="eastAsia"/>
                <w:bCs/>
                <w:iCs/>
                <w:sz w:val="24"/>
                <w:szCs w:val="24"/>
              </w:rPr>
              <w:t>2019年</w:t>
            </w:r>
            <w:r>
              <w:rPr>
                <w:rFonts w:ascii="宋体"/>
                <w:bCs/>
                <w:iCs/>
                <w:sz w:val="24"/>
                <w:szCs w:val="24"/>
              </w:rPr>
              <w:t>公司</w:t>
            </w:r>
            <w:r w:rsidR="008C3F32">
              <w:rPr>
                <w:rFonts w:ascii="宋体" w:hint="eastAsia"/>
                <w:bCs/>
                <w:iCs/>
                <w:sz w:val="24"/>
                <w:szCs w:val="24"/>
              </w:rPr>
              <w:t>计划</w:t>
            </w:r>
            <w:r w:rsidR="008C3F32">
              <w:rPr>
                <w:rFonts w:ascii="宋体"/>
                <w:bCs/>
                <w:iCs/>
                <w:sz w:val="24"/>
                <w:szCs w:val="24"/>
              </w:rPr>
              <w:t>国内外</w:t>
            </w:r>
            <w:r>
              <w:rPr>
                <w:rFonts w:ascii="宋体" w:hint="eastAsia"/>
                <w:bCs/>
                <w:iCs/>
                <w:sz w:val="24"/>
                <w:szCs w:val="24"/>
              </w:rPr>
              <w:t>EPC业务</w:t>
            </w:r>
            <w:r w:rsidR="008C3F32">
              <w:rPr>
                <w:rFonts w:ascii="宋体" w:hint="eastAsia"/>
                <w:bCs/>
                <w:iCs/>
                <w:sz w:val="24"/>
                <w:szCs w:val="24"/>
              </w:rPr>
              <w:t>收入超</w:t>
            </w:r>
            <w:r>
              <w:rPr>
                <w:rFonts w:ascii="宋体" w:hint="eastAsia"/>
                <w:bCs/>
                <w:iCs/>
                <w:sz w:val="24"/>
                <w:szCs w:val="24"/>
              </w:rPr>
              <w:t>500MW，</w:t>
            </w:r>
            <w:r w:rsidR="008C3F32">
              <w:rPr>
                <w:rFonts w:ascii="宋体" w:hint="eastAsia"/>
                <w:bCs/>
                <w:iCs/>
                <w:sz w:val="24"/>
                <w:szCs w:val="24"/>
              </w:rPr>
              <w:t>公司</w:t>
            </w:r>
            <w:r w:rsidR="008C3F32">
              <w:rPr>
                <w:rFonts w:ascii="宋体"/>
                <w:bCs/>
                <w:iCs/>
                <w:sz w:val="24"/>
                <w:szCs w:val="24"/>
              </w:rPr>
              <w:t>子公司能源工程</w:t>
            </w:r>
            <w:r w:rsidR="008C3F32">
              <w:rPr>
                <w:rFonts w:ascii="宋体" w:hint="eastAsia"/>
                <w:bCs/>
                <w:iCs/>
                <w:sz w:val="24"/>
                <w:szCs w:val="24"/>
              </w:rPr>
              <w:t>将</w:t>
            </w:r>
            <w:r w:rsidR="008C3F32" w:rsidRPr="008C3F32">
              <w:rPr>
                <w:rFonts w:ascii="宋体" w:hint="eastAsia"/>
                <w:bCs/>
                <w:iCs/>
                <w:sz w:val="24"/>
                <w:szCs w:val="24"/>
              </w:rPr>
              <w:t>逐步从单一的光伏EPC企业转型为综合能源解决方案服务提供商</w:t>
            </w:r>
            <w:r w:rsidR="008C3F32">
              <w:rPr>
                <w:rFonts w:ascii="宋体" w:hint="eastAsia"/>
                <w:bCs/>
                <w:iCs/>
                <w:sz w:val="24"/>
                <w:szCs w:val="24"/>
              </w:rPr>
              <w:t>，</w:t>
            </w:r>
            <w:r w:rsidR="008C3F32" w:rsidRPr="008C3F32">
              <w:rPr>
                <w:rFonts w:ascii="宋体" w:hint="eastAsia"/>
                <w:bCs/>
                <w:iCs/>
                <w:sz w:val="24"/>
                <w:szCs w:val="24"/>
              </w:rPr>
              <w:t>在保持国内分布式光伏系统集成领先地位的同时，积极拓展海外市场，拟通过合作、参股或并购等多种方式，与海外主流光伏系统集成</w:t>
            </w:r>
            <w:proofErr w:type="gramStart"/>
            <w:r w:rsidR="008C3F32" w:rsidRPr="008C3F32">
              <w:rPr>
                <w:rFonts w:ascii="宋体" w:hint="eastAsia"/>
                <w:bCs/>
                <w:iCs/>
                <w:sz w:val="24"/>
                <w:szCs w:val="24"/>
              </w:rPr>
              <w:t>商形成</w:t>
            </w:r>
            <w:proofErr w:type="gramEnd"/>
            <w:r w:rsidR="008C3F32" w:rsidRPr="008C3F32">
              <w:rPr>
                <w:rFonts w:ascii="宋体" w:hint="eastAsia"/>
                <w:bCs/>
                <w:iCs/>
                <w:sz w:val="24"/>
                <w:szCs w:val="24"/>
              </w:rPr>
              <w:t>战略合作，打造成为全球领先的光伏系统集成服务提供商。</w:t>
            </w:r>
          </w:p>
          <w:p w14:paraId="0AD5D93B" w14:textId="1FBB0E7D" w:rsidR="00870139" w:rsidRPr="00E125C1" w:rsidRDefault="00870139" w:rsidP="00877BE8">
            <w:pPr>
              <w:spacing w:line="480" w:lineRule="atLeast"/>
              <w:rPr>
                <w:rFonts w:ascii="宋体"/>
                <w:bCs/>
                <w:iCs/>
                <w:sz w:val="24"/>
                <w:szCs w:val="24"/>
              </w:rPr>
            </w:pPr>
            <w:r>
              <w:rPr>
                <w:rFonts w:ascii="宋体" w:hint="eastAsia"/>
                <w:bCs/>
                <w:iCs/>
                <w:sz w:val="24"/>
                <w:szCs w:val="24"/>
              </w:rPr>
              <w:t>7、</w:t>
            </w:r>
            <w:r w:rsidRPr="00870139">
              <w:rPr>
                <w:rFonts w:ascii="宋体" w:hint="eastAsia"/>
                <w:bCs/>
                <w:iCs/>
                <w:sz w:val="24"/>
                <w:szCs w:val="24"/>
              </w:rPr>
              <w:t>公司</w:t>
            </w:r>
            <w:r w:rsidR="005B1259">
              <w:rPr>
                <w:rFonts w:ascii="宋体" w:hint="eastAsia"/>
                <w:bCs/>
                <w:iCs/>
                <w:sz w:val="24"/>
                <w:szCs w:val="24"/>
              </w:rPr>
              <w:t>目前</w:t>
            </w:r>
            <w:r w:rsidR="005B1259">
              <w:rPr>
                <w:rFonts w:ascii="宋体"/>
                <w:bCs/>
                <w:iCs/>
                <w:sz w:val="24"/>
                <w:szCs w:val="24"/>
              </w:rPr>
              <w:t>订单情况如何？</w:t>
            </w:r>
            <w:r w:rsidRPr="00870139">
              <w:rPr>
                <w:rFonts w:ascii="宋体" w:hint="eastAsia"/>
                <w:bCs/>
                <w:iCs/>
                <w:sz w:val="24"/>
                <w:szCs w:val="24"/>
              </w:rPr>
              <w:t>规划今年出货量目标是多少</w:t>
            </w:r>
            <w:r>
              <w:rPr>
                <w:rFonts w:ascii="宋体" w:hint="eastAsia"/>
                <w:bCs/>
                <w:iCs/>
                <w:sz w:val="24"/>
                <w:szCs w:val="24"/>
              </w:rPr>
              <w:t>？</w:t>
            </w:r>
          </w:p>
          <w:p w14:paraId="4D1B6F43" w14:textId="0211AC39" w:rsidR="00327CBE" w:rsidRPr="00870139" w:rsidRDefault="00870139" w:rsidP="00781249">
            <w:pPr>
              <w:spacing w:line="480" w:lineRule="atLeast"/>
              <w:rPr>
                <w:rFonts w:ascii="宋体"/>
                <w:bCs/>
                <w:iCs/>
                <w:sz w:val="24"/>
                <w:szCs w:val="24"/>
              </w:rPr>
            </w:pPr>
            <w:r>
              <w:rPr>
                <w:rFonts w:ascii="宋体" w:hint="eastAsia"/>
                <w:bCs/>
                <w:iCs/>
                <w:sz w:val="24"/>
                <w:szCs w:val="24"/>
              </w:rPr>
              <w:t>答复</w:t>
            </w:r>
            <w:r>
              <w:rPr>
                <w:rFonts w:ascii="宋体"/>
                <w:bCs/>
                <w:iCs/>
                <w:sz w:val="24"/>
                <w:szCs w:val="24"/>
              </w:rPr>
              <w:t>：</w:t>
            </w:r>
            <w:r w:rsidRPr="00870139">
              <w:rPr>
                <w:rFonts w:ascii="宋体" w:hint="eastAsia"/>
                <w:bCs/>
                <w:iCs/>
                <w:sz w:val="24"/>
                <w:szCs w:val="24"/>
              </w:rPr>
              <w:t>公司</w:t>
            </w:r>
            <w:r w:rsidR="005B1259">
              <w:rPr>
                <w:rFonts w:ascii="宋体" w:hint="eastAsia"/>
                <w:bCs/>
                <w:iCs/>
                <w:sz w:val="24"/>
                <w:szCs w:val="24"/>
              </w:rPr>
              <w:t>上半年在手</w:t>
            </w:r>
            <w:r w:rsidR="005B1259">
              <w:rPr>
                <w:rFonts w:ascii="宋体"/>
                <w:bCs/>
                <w:iCs/>
                <w:sz w:val="24"/>
                <w:szCs w:val="24"/>
              </w:rPr>
              <w:t>订单</w:t>
            </w:r>
            <w:r w:rsidR="005B1259">
              <w:rPr>
                <w:rFonts w:ascii="宋体" w:hint="eastAsia"/>
                <w:bCs/>
                <w:iCs/>
                <w:sz w:val="24"/>
                <w:szCs w:val="24"/>
              </w:rPr>
              <w:t>充裕</w:t>
            </w:r>
            <w:r w:rsidR="005B1259">
              <w:rPr>
                <w:rFonts w:ascii="宋体"/>
                <w:bCs/>
                <w:iCs/>
                <w:sz w:val="24"/>
                <w:szCs w:val="24"/>
              </w:rPr>
              <w:t>，</w:t>
            </w:r>
            <w:r w:rsidR="008C3F32">
              <w:rPr>
                <w:rFonts w:ascii="宋体" w:hint="eastAsia"/>
                <w:bCs/>
                <w:iCs/>
                <w:sz w:val="24"/>
                <w:szCs w:val="24"/>
              </w:rPr>
              <w:t>计划</w:t>
            </w:r>
            <w:r w:rsidR="008C3F32" w:rsidRPr="008C3F32">
              <w:rPr>
                <w:rFonts w:ascii="宋体" w:hint="eastAsia"/>
                <w:bCs/>
                <w:iCs/>
                <w:sz w:val="24"/>
                <w:szCs w:val="24"/>
              </w:rPr>
              <w:t>2019年度组件出货达到6.5~7GW</w:t>
            </w:r>
            <w:r>
              <w:rPr>
                <w:rFonts w:ascii="宋体"/>
                <w:bCs/>
                <w:iCs/>
                <w:sz w:val="24"/>
                <w:szCs w:val="24"/>
              </w:rPr>
              <w:t>。</w:t>
            </w:r>
          </w:p>
          <w:p w14:paraId="34354F47" w14:textId="6A6F6E05" w:rsidR="00EC148C" w:rsidRPr="00EC148C" w:rsidRDefault="00EC148C" w:rsidP="00EC148C">
            <w:pPr>
              <w:spacing w:line="480" w:lineRule="atLeast"/>
              <w:rPr>
                <w:rFonts w:ascii="宋体"/>
                <w:bCs/>
                <w:iCs/>
                <w:sz w:val="24"/>
                <w:szCs w:val="24"/>
              </w:rPr>
            </w:pPr>
            <w:r>
              <w:rPr>
                <w:rFonts w:ascii="宋体" w:hint="eastAsia"/>
                <w:bCs/>
                <w:iCs/>
                <w:sz w:val="24"/>
                <w:szCs w:val="24"/>
              </w:rPr>
              <w:t>8、</w:t>
            </w:r>
            <w:r w:rsidRPr="00EC148C">
              <w:rPr>
                <w:rFonts w:ascii="宋体" w:hint="eastAsia"/>
                <w:bCs/>
                <w:iCs/>
                <w:sz w:val="24"/>
                <w:szCs w:val="24"/>
              </w:rPr>
              <w:t>电池及组件的未来技术发展趋势都有哪些？</w:t>
            </w:r>
            <w:r>
              <w:rPr>
                <w:rFonts w:ascii="宋体" w:hint="eastAsia"/>
                <w:bCs/>
                <w:iCs/>
                <w:sz w:val="24"/>
                <w:szCs w:val="24"/>
              </w:rPr>
              <w:t>公司</w:t>
            </w:r>
            <w:r>
              <w:rPr>
                <w:rFonts w:ascii="宋体"/>
                <w:bCs/>
                <w:iCs/>
                <w:sz w:val="24"/>
                <w:szCs w:val="24"/>
              </w:rPr>
              <w:t>有相关的技术储备么？</w:t>
            </w:r>
          </w:p>
          <w:p w14:paraId="18606522" w14:textId="551F57D8" w:rsidR="00E507D6" w:rsidRDefault="00E507D6" w:rsidP="00EC148C">
            <w:pPr>
              <w:spacing w:line="480" w:lineRule="atLeast"/>
              <w:rPr>
                <w:rFonts w:ascii="宋体"/>
                <w:bCs/>
                <w:iCs/>
                <w:sz w:val="24"/>
                <w:szCs w:val="24"/>
              </w:rPr>
            </w:pPr>
            <w:r w:rsidRPr="00E507D6">
              <w:rPr>
                <w:rFonts w:ascii="宋体" w:hint="eastAsia"/>
                <w:bCs/>
                <w:iCs/>
                <w:sz w:val="24"/>
                <w:szCs w:val="24"/>
              </w:rPr>
              <w:t>答复：未来光</w:t>
            </w:r>
            <w:proofErr w:type="gramStart"/>
            <w:r w:rsidRPr="00E507D6">
              <w:rPr>
                <w:rFonts w:ascii="宋体" w:hint="eastAsia"/>
                <w:bCs/>
                <w:iCs/>
                <w:sz w:val="24"/>
                <w:szCs w:val="24"/>
              </w:rPr>
              <w:t>伏行业</w:t>
            </w:r>
            <w:proofErr w:type="gramEnd"/>
            <w:r w:rsidRPr="00E507D6">
              <w:rPr>
                <w:rFonts w:ascii="宋体" w:hint="eastAsia"/>
                <w:bCs/>
                <w:iCs/>
                <w:sz w:val="24"/>
                <w:szCs w:val="24"/>
              </w:rPr>
              <w:t>具有应用前景的电池和组件技术包括</w:t>
            </w:r>
            <w:r w:rsidR="00320EE3">
              <w:rPr>
                <w:rFonts w:ascii="宋体" w:hint="eastAsia"/>
                <w:bCs/>
                <w:iCs/>
                <w:sz w:val="24"/>
                <w:szCs w:val="24"/>
              </w:rPr>
              <w:t>：</w:t>
            </w:r>
            <w:r w:rsidRPr="00E507D6">
              <w:rPr>
                <w:rFonts w:ascii="宋体" w:hint="eastAsia"/>
                <w:bCs/>
                <w:iCs/>
                <w:sz w:val="24"/>
                <w:szCs w:val="24"/>
              </w:rPr>
              <w:t>N型双面电池技术、Topcon接触钝化电池技术、IBC</w:t>
            </w:r>
            <w:proofErr w:type="gramStart"/>
            <w:r w:rsidRPr="00E507D6">
              <w:rPr>
                <w:rFonts w:ascii="宋体" w:hint="eastAsia"/>
                <w:bCs/>
                <w:iCs/>
                <w:sz w:val="24"/>
                <w:szCs w:val="24"/>
              </w:rPr>
              <w:t>背接触</w:t>
            </w:r>
            <w:proofErr w:type="gramEnd"/>
            <w:r w:rsidRPr="00E507D6">
              <w:rPr>
                <w:rFonts w:ascii="宋体" w:hint="eastAsia"/>
                <w:bCs/>
                <w:iCs/>
                <w:sz w:val="24"/>
                <w:szCs w:val="24"/>
              </w:rPr>
              <w:t>电池技术、HJT异质结电池技术</w:t>
            </w:r>
            <w:r w:rsidR="00320EE3">
              <w:rPr>
                <w:rFonts w:ascii="宋体" w:hint="eastAsia"/>
                <w:bCs/>
                <w:iCs/>
                <w:sz w:val="24"/>
                <w:szCs w:val="24"/>
              </w:rPr>
              <w:t>、</w:t>
            </w:r>
            <w:r w:rsidR="00320EE3" w:rsidRPr="00E507D6">
              <w:rPr>
                <w:rFonts w:ascii="宋体" w:hint="eastAsia"/>
                <w:bCs/>
                <w:iCs/>
                <w:sz w:val="24"/>
                <w:szCs w:val="24"/>
              </w:rPr>
              <w:t>P型大尺寸方形准单晶技术</w:t>
            </w:r>
            <w:proofErr w:type="gramStart"/>
            <w:r w:rsidRPr="00E507D6">
              <w:rPr>
                <w:rFonts w:ascii="宋体" w:hint="eastAsia"/>
                <w:bCs/>
                <w:iCs/>
                <w:sz w:val="24"/>
                <w:szCs w:val="24"/>
              </w:rPr>
              <w:t>以及叠瓦组件</w:t>
            </w:r>
            <w:proofErr w:type="gramEnd"/>
            <w:r w:rsidRPr="00E507D6">
              <w:rPr>
                <w:rFonts w:ascii="宋体" w:hint="eastAsia"/>
                <w:bCs/>
                <w:iCs/>
                <w:sz w:val="24"/>
                <w:szCs w:val="24"/>
              </w:rPr>
              <w:t>技术等。目前公司在上述领域均已开展不同程度的研究和产业化关键共性技术储备。</w:t>
            </w:r>
          </w:p>
          <w:p w14:paraId="16F21BF2" w14:textId="45148059" w:rsidR="00EC148C" w:rsidRDefault="00EC148C" w:rsidP="00EC148C">
            <w:pPr>
              <w:spacing w:line="480" w:lineRule="atLeast"/>
              <w:rPr>
                <w:rFonts w:ascii="宋体"/>
                <w:bCs/>
                <w:iCs/>
                <w:sz w:val="24"/>
                <w:szCs w:val="24"/>
              </w:rPr>
            </w:pPr>
            <w:r>
              <w:rPr>
                <w:rFonts w:ascii="宋体" w:hint="eastAsia"/>
                <w:bCs/>
                <w:iCs/>
                <w:sz w:val="24"/>
                <w:szCs w:val="24"/>
              </w:rPr>
              <w:lastRenderedPageBreak/>
              <w:t>9、</w:t>
            </w:r>
            <w:r w:rsidR="002E7879">
              <w:rPr>
                <w:rFonts w:ascii="宋体" w:hint="eastAsia"/>
                <w:bCs/>
                <w:iCs/>
                <w:sz w:val="24"/>
                <w:szCs w:val="24"/>
              </w:rPr>
              <w:t>公司</w:t>
            </w:r>
            <w:r>
              <w:rPr>
                <w:rFonts w:ascii="宋体" w:hint="eastAsia"/>
                <w:bCs/>
                <w:iCs/>
                <w:sz w:val="24"/>
                <w:szCs w:val="24"/>
              </w:rPr>
              <w:t>未来组件的降本</w:t>
            </w:r>
            <w:r w:rsidRPr="00EC148C">
              <w:rPr>
                <w:rFonts w:ascii="宋体" w:hint="eastAsia"/>
                <w:bCs/>
                <w:iCs/>
                <w:sz w:val="24"/>
                <w:szCs w:val="24"/>
              </w:rPr>
              <w:t>趋势都有哪些？</w:t>
            </w:r>
          </w:p>
          <w:p w14:paraId="59BD2E6D" w14:textId="193D2A5B" w:rsidR="00327CBE" w:rsidRDefault="002E7879" w:rsidP="00781249">
            <w:pPr>
              <w:spacing w:line="480" w:lineRule="atLeast"/>
              <w:rPr>
                <w:rFonts w:ascii="宋体"/>
                <w:bCs/>
                <w:iCs/>
                <w:sz w:val="24"/>
                <w:szCs w:val="24"/>
              </w:rPr>
            </w:pPr>
            <w:r>
              <w:rPr>
                <w:rFonts w:ascii="宋体" w:hint="eastAsia"/>
                <w:bCs/>
                <w:iCs/>
                <w:sz w:val="24"/>
                <w:szCs w:val="24"/>
              </w:rPr>
              <w:t>答复</w:t>
            </w:r>
            <w:r>
              <w:rPr>
                <w:rFonts w:ascii="宋体"/>
                <w:bCs/>
                <w:iCs/>
                <w:sz w:val="24"/>
                <w:szCs w:val="24"/>
              </w:rPr>
              <w:t>：</w:t>
            </w:r>
            <w:r w:rsidRPr="002E7879">
              <w:rPr>
                <w:rFonts w:ascii="宋体" w:hint="eastAsia"/>
                <w:bCs/>
                <w:iCs/>
                <w:sz w:val="24"/>
                <w:szCs w:val="24"/>
              </w:rPr>
              <w:t>降本增效路径：</w:t>
            </w:r>
            <w:r>
              <w:rPr>
                <w:rFonts w:ascii="宋体" w:hint="eastAsia"/>
                <w:bCs/>
                <w:iCs/>
                <w:sz w:val="24"/>
                <w:szCs w:val="24"/>
              </w:rPr>
              <w:t>（1）通过</w:t>
            </w:r>
            <w:r>
              <w:rPr>
                <w:rFonts w:ascii="宋体"/>
                <w:bCs/>
                <w:iCs/>
                <w:sz w:val="24"/>
                <w:szCs w:val="24"/>
              </w:rPr>
              <w:t>硅片</w:t>
            </w:r>
            <w:r>
              <w:rPr>
                <w:rFonts w:ascii="宋体" w:hint="eastAsia"/>
                <w:bCs/>
                <w:iCs/>
                <w:sz w:val="24"/>
                <w:szCs w:val="24"/>
              </w:rPr>
              <w:t>薄</w:t>
            </w:r>
            <w:r>
              <w:rPr>
                <w:rFonts w:ascii="宋体"/>
                <w:bCs/>
                <w:iCs/>
                <w:sz w:val="24"/>
                <w:szCs w:val="24"/>
              </w:rPr>
              <w:t>片化及大尺寸硅片</w:t>
            </w:r>
            <w:r>
              <w:rPr>
                <w:rFonts w:ascii="宋体" w:hint="eastAsia"/>
                <w:bCs/>
                <w:iCs/>
                <w:sz w:val="24"/>
                <w:szCs w:val="24"/>
              </w:rPr>
              <w:t>摊薄每瓦</w:t>
            </w:r>
            <w:r>
              <w:rPr>
                <w:rFonts w:ascii="宋体"/>
                <w:bCs/>
                <w:iCs/>
                <w:sz w:val="24"/>
                <w:szCs w:val="24"/>
              </w:rPr>
              <w:t>成本</w:t>
            </w:r>
            <w:r>
              <w:rPr>
                <w:rFonts w:ascii="宋体" w:hint="eastAsia"/>
                <w:bCs/>
                <w:iCs/>
                <w:sz w:val="24"/>
                <w:szCs w:val="24"/>
              </w:rPr>
              <w:t>；</w:t>
            </w:r>
            <w:r w:rsidRPr="002E7879">
              <w:rPr>
                <w:rFonts w:ascii="宋体" w:hint="eastAsia"/>
                <w:bCs/>
                <w:iCs/>
                <w:sz w:val="24"/>
                <w:szCs w:val="24"/>
              </w:rPr>
              <w:t>（</w:t>
            </w:r>
            <w:r>
              <w:rPr>
                <w:rFonts w:ascii="宋体"/>
                <w:bCs/>
                <w:iCs/>
                <w:sz w:val="24"/>
                <w:szCs w:val="24"/>
              </w:rPr>
              <w:t>2</w:t>
            </w:r>
            <w:r w:rsidRPr="002E7879">
              <w:rPr>
                <w:rFonts w:ascii="宋体" w:hint="eastAsia"/>
                <w:bCs/>
                <w:iCs/>
                <w:sz w:val="24"/>
                <w:szCs w:val="24"/>
              </w:rPr>
              <w:t>）</w:t>
            </w:r>
            <w:proofErr w:type="gramStart"/>
            <w:r w:rsidRPr="002E7879">
              <w:rPr>
                <w:rFonts w:ascii="宋体" w:hint="eastAsia"/>
                <w:bCs/>
                <w:iCs/>
                <w:sz w:val="24"/>
                <w:szCs w:val="24"/>
              </w:rPr>
              <w:t>非硅辅料</w:t>
            </w:r>
            <w:proofErr w:type="gramEnd"/>
            <w:r w:rsidRPr="002E7879">
              <w:rPr>
                <w:rFonts w:ascii="宋体" w:hint="eastAsia"/>
                <w:bCs/>
                <w:iCs/>
                <w:sz w:val="24"/>
                <w:szCs w:val="24"/>
              </w:rPr>
              <w:t>成本降低；（</w:t>
            </w:r>
            <w:r>
              <w:rPr>
                <w:rFonts w:ascii="宋体"/>
                <w:bCs/>
                <w:iCs/>
                <w:sz w:val="24"/>
                <w:szCs w:val="24"/>
              </w:rPr>
              <w:t>3</w:t>
            </w:r>
            <w:r w:rsidRPr="002E7879">
              <w:rPr>
                <w:rFonts w:ascii="宋体" w:hint="eastAsia"/>
                <w:bCs/>
                <w:iCs/>
                <w:sz w:val="24"/>
                <w:szCs w:val="24"/>
              </w:rPr>
              <w:t>）提高工厂自动化水平，降低人工成本，提高生产效率；（</w:t>
            </w:r>
            <w:r>
              <w:rPr>
                <w:rFonts w:ascii="宋体"/>
                <w:bCs/>
                <w:iCs/>
                <w:sz w:val="24"/>
                <w:szCs w:val="24"/>
              </w:rPr>
              <w:t>4</w:t>
            </w:r>
            <w:r w:rsidRPr="002E7879">
              <w:rPr>
                <w:rFonts w:ascii="宋体" w:hint="eastAsia"/>
                <w:bCs/>
                <w:iCs/>
                <w:sz w:val="24"/>
                <w:szCs w:val="24"/>
              </w:rPr>
              <w:t>）科技创新，提高电池转换效率；</w:t>
            </w:r>
            <w:bookmarkStart w:id="0" w:name="_GoBack"/>
            <w:r w:rsidR="005779EF">
              <w:rPr>
                <w:rFonts w:ascii="宋体" w:hint="eastAsia"/>
                <w:bCs/>
                <w:iCs/>
                <w:sz w:val="24"/>
                <w:szCs w:val="24"/>
              </w:rPr>
              <w:t>（5）</w:t>
            </w:r>
            <w:bookmarkEnd w:id="0"/>
            <w:r w:rsidRPr="002E7879">
              <w:rPr>
                <w:rFonts w:ascii="宋体" w:hint="eastAsia"/>
                <w:bCs/>
                <w:iCs/>
                <w:sz w:val="24"/>
                <w:szCs w:val="24"/>
              </w:rPr>
              <w:t>降低期间费用。</w:t>
            </w:r>
          </w:p>
          <w:p w14:paraId="6F15EF73" w14:textId="596DA3AA" w:rsidR="000F6482" w:rsidRPr="005F0013" w:rsidRDefault="000F6482" w:rsidP="00EC148C">
            <w:pPr>
              <w:spacing w:line="480" w:lineRule="atLeast"/>
              <w:rPr>
                <w:rFonts w:ascii="宋体"/>
                <w:bCs/>
                <w:iCs/>
                <w:sz w:val="24"/>
                <w:szCs w:val="24"/>
              </w:rPr>
            </w:pPr>
          </w:p>
        </w:tc>
      </w:tr>
      <w:tr w:rsidR="00EB7CC6" w:rsidRPr="00F7661A" w14:paraId="5F5D06BB" w14:textId="77777777" w:rsidTr="00EB7CC6">
        <w:tc>
          <w:tcPr>
            <w:tcW w:w="1249" w:type="dxa"/>
            <w:vAlign w:val="center"/>
          </w:tcPr>
          <w:p w14:paraId="2ABE5A66" w14:textId="07E4E515" w:rsidR="00EB7CC6" w:rsidRPr="00F7661A" w:rsidRDefault="00EB7CC6" w:rsidP="00F5168C">
            <w:pPr>
              <w:spacing w:line="480" w:lineRule="atLeast"/>
              <w:rPr>
                <w:rFonts w:ascii="宋体"/>
                <w:b/>
                <w:bCs/>
                <w:iCs/>
                <w:sz w:val="24"/>
                <w:szCs w:val="24"/>
              </w:rPr>
            </w:pPr>
            <w:r w:rsidRPr="00F7661A">
              <w:rPr>
                <w:rFonts w:ascii="宋体" w:hAnsi="宋体" w:hint="eastAsia"/>
                <w:b/>
                <w:bCs/>
                <w:iCs/>
                <w:sz w:val="24"/>
                <w:szCs w:val="24"/>
              </w:rPr>
              <w:lastRenderedPageBreak/>
              <w:t>附件清单</w:t>
            </w:r>
            <w:r>
              <w:rPr>
                <w:rFonts w:ascii="宋体" w:hAnsi="宋体" w:hint="eastAsia"/>
                <w:b/>
                <w:bCs/>
                <w:iCs/>
                <w:sz w:val="24"/>
                <w:szCs w:val="24"/>
              </w:rPr>
              <w:t>（如有</w:t>
            </w:r>
            <w:r>
              <w:rPr>
                <w:rFonts w:ascii="宋体" w:hAnsi="宋体"/>
                <w:b/>
                <w:bCs/>
                <w:iCs/>
                <w:sz w:val="24"/>
                <w:szCs w:val="24"/>
              </w:rPr>
              <w:t>）</w:t>
            </w:r>
          </w:p>
        </w:tc>
        <w:tc>
          <w:tcPr>
            <w:tcW w:w="7364" w:type="dxa"/>
          </w:tcPr>
          <w:p w14:paraId="639ED4F7" w14:textId="59E48BB0" w:rsidR="00EB7CC6" w:rsidRPr="00F7661A" w:rsidRDefault="00942D03" w:rsidP="00DE3F27">
            <w:pPr>
              <w:spacing w:line="480" w:lineRule="atLeast"/>
              <w:rPr>
                <w:rFonts w:ascii="宋体"/>
                <w:bCs/>
                <w:iCs/>
                <w:sz w:val="24"/>
                <w:szCs w:val="24"/>
              </w:rPr>
            </w:pPr>
            <w:r>
              <w:rPr>
                <w:rFonts w:ascii="宋体" w:hint="eastAsia"/>
                <w:bCs/>
                <w:iCs/>
                <w:sz w:val="24"/>
                <w:szCs w:val="24"/>
              </w:rPr>
              <w:t>无</w:t>
            </w:r>
          </w:p>
        </w:tc>
      </w:tr>
      <w:tr w:rsidR="00EB7CC6" w:rsidRPr="00F7661A" w14:paraId="6A691806" w14:textId="77777777" w:rsidTr="00EB7CC6">
        <w:tc>
          <w:tcPr>
            <w:tcW w:w="1249" w:type="dxa"/>
            <w:vAlign w:val="center"/>
          </w:tcPr>
          <w:p w14:paraId="0ED82F92" w14:textId="77777777" w:rsidR="00EB7CC6" w:rsidRPr="00F7661A" w:rsidRDefault="00EB7CC6" w:rsidP="00DE3F27">
            <w:pPr>
              <w:spacing w:line="480" w:lineRule="atLeast"/>
              <w:rPr>
                <w:rFonts w:ascii="宋体"/>
                <w:b/>
                <w:bCs/>
                <w:iCs/>
                <w:sz w:val="24"/>
                <w:szCs w:val="24"/>
              </w:rPr>
            </w:pPr>
            <w:r w:rsidRPr="00F7661A">
              <w:rPr>
                <w:rFonts w:ascii="宋体" w:hAnsi="宋体" w:hint="eastAsia"/>
                <w:b/>
                <w:bCs/>
                <w:iCs/>
                <w:sz w:val="24"/>
                <w:szCs w:val="24"/>
              </w:rPr>
              <w:t>日期</w:t>
            </w:r>
          </w:p>
        </w:tc>
        <w:tc>
          <w:tcPr>
            <w:tcW w:w="7364" w:type="dxa"/>
          </w:tcPr>
          <w:p w14:paraId="16A59C47" w14:textId="6BA704B4" w:rsidR="00EB7CC6" w:rsidRPr="00F7661A" w:rsidRDefault="00EB7CC6" w:rsidP="008C3F32">
            <w:pPr>
              <w:spacing w:line="480" w:lineRule="atLeast"/>
              <w:rPr>
                <w:rFonts w:ascii="宋体"/>
                <w:bCs/>
                <w:iCs/>
                <w:sz w:val="24"/>
                <w:szCs w:val="24"/>
              </w:rPr>
            </w:pPr>
            <w:r>
              <w:rPr>
                <w:rFonts w:ascii="宋体" w:hint="eastAsia"/>
                <w:bCs/>
                <w:iCs/>
                <w:sz w:val="24"/>
                <w:szCs w:val="24"/>
              </w:rPr>
              <w:t>201</w:t>
            </w:r>
            <w:r w:rsidR="0037487D">
              <w:rPr>
                <w:rFonts w:ascii="宋体"/>
                <w:bCs/>
                <w:iCs/>
                <w:sz w:val="24"/>
                <w:szCs w:val="24"/>
              </w:rPr>
              <w:t>9</w:t>
            </w:r>
            <w:r>
              <w:rPr>
                <w:rFonts w:ascii="宋体" w:hint="eastAsia"/>
                <w:bCs/>
                <w:iCs/>
                <w:sz w:val="24"/>
                <w:szCs w:val="24"/>
              </w:rPr>
              <w:t>年</w:t>
            </w:r>
            <w:r w:rsidR="00EC148C">
              <w:rPr>
                <w:rFonts w:ascii="宋体"/>
                <w:bCs/>
                <w:iCs/>
                <w:sz w:val="24"/>
                <w:szCs w:val="24"/>
              </w:rPr>
              <w:t>4</w:t>
            </w:r>
            <w:r>
              <w:rPr>
                <w:rFonts w:ascii="宋体" w:hint="eastAsia"/>
                <w:bCs/>
                <w:iCs/>
                <w:sz w:val="24"/>
                <w:szCs w:val="24"/>
              </w:rPr>
              <w:t>月</w:t>
            </w:r>
            <w:r w:rsidR="008C3F32">
              <w:rPr>
                <w:rFonts w:ascii="宋体"/>
                <w:bCs/>
                <w:iCs/>
                <w:sz w:val="24"/>
                <w:szCs w:val="24"/>
              </w:rPr>
              <w:t>25</w:t>
            </w:r>
            <w:r>
              <w:rPr>
                <w:rFonts w:ascii="宋体" w:hint="eastAsia"/>
                <w:bCs/>
                <w:iCs/>
                <w:sz w:val="24"/>
                <w:szCs w:val="24"/>
              </w:rPr>
              <w:t>日</w:t>
            </w:r>
          </w:p>
        </w:tc>
      </w:tr>
    </w:tbl>
    <w:p w14:paraId="055DA2C4" w14:textId="77777777" w:rsidR="00D50434" w:rsidRDefault="00D50434"/>
    <w:sectPr w:rsidR="00D50434" w:rsidSect="000D6F2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6C5D4" w14:textId="77777777" w:rsidR="00A254B8" w:rsidRDefault="00A254B8">
      <w:r>
        <w:separator/>
      </w:r>
    </w:p>
  </w:endnote>
  <w:endnote w:type="continuationSeparator" w:id="0">
    <w:p w14:paraId="2EB9DEC0" w14:textId="77777777" w:rsidR="00A254B8" w:rsidRDefault="00A2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438AE" w14:textId="77777777" w:rsidR="00A254B8" w:rsidRDefault="00A254B8">
      <w:r>
        <w:separator/>
      </w:r>
    </w:p>
  </w:footnote>
  <w:footnote w:type="continuationSeparator" w:id="0">
    <w:p w14:paraId="4570910E" w14:textId="77777777" w:rsidR="00A254B8" w:rsidRDefault="00A25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1ED74" w14:textId="77777777" w:rsidR="00D50434" w:rsidRPr="009F629A" w:rsidRDefault="0056529A" w:rsidP="00AE737B">
    <w:pPr>
      <w:pStyle w:val="a4"/>
    </w:pPr>
    <w:r>
      <w:rPr>
        <w:rFonts w:ascii="宋体" w:cs="Tahoma"/>
        <w:b/>
        <w:noProof/>
        <w:color w:val="333399"/>
        <w:kern w:val="0"/>
        <w:sz w:val="15"/>
        <w:szCs w:val="15"/>
        <w:shd w:val="clear" w:color="auto" w:fill="FFFFFF"/>
      </w:rPr>
      <w:drawing>
        <wp:inline distT="0" distB="0" distL="0" distR="0" wp14:anchorId="31EBF087" wp14:editId="43772689">
          <wp:extent cx="5295900" cy="6953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5295900" cy="695325"/>
                  </a:xfrm>
                  <a:prstGeom prst="rect">
                    <a:avLst/>
                  </a:prstGeom>
                  <a:noFill/>
                  <a:ln w="9525">
                    <a:noFill/>
                    <a:miter lim="800000"/>
                    <a:headEnd/>
                    <a:tailEnd/>
                  </a:ln>
                </pic:spPr>
              </pic:pic>
            </a:graphicData>
          </a:graphic>
        </wp:inline>
      </w:drawing>
    </w:r>
  </w:p>
  <w:p w14:paraId="578F75E0" w14:textId="77777777" w:rsidR="00D50434" w:rsidRDefault="00D50434" w:rsidP="00AE737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813DF"/>
    <w:multiLevelType w:val="hybridMultilevel"/>
    <w:tmpl w:val="24D0A75C"/>
    <w:lvl w:ilvl="0" w:tplc="8CDA2C1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42573F"/>
    <w:multiLevelType w:val="hybridMultilevel"/>
    <w:tmpl w:val="BE926E62"/>
    <w:lvl w:ilvl="0" w:tplc="424842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D766FB"/>
    <w:multiLevelType w:val="hybridMultilevel"/>
    <w:tmpl w:val="AC68C114"/>
    <w:lvl w:ilvl="0" w:tplc="56929E7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62"/>
    <w:rsid w:val="00001191"/>
    <w:rsid w:val="0000391F"/>
    <w:rsid w:val="000127D5"/>
    <w:rsid w:val="00012F1C"/>
    <w:rsid w:val="00015C29"/>
    <w:rsid w:val="0002688F"/>
    <w:rsid w:val="000274A6"/>
    <w:rsid w:val="00037C87"/>
    <w:rsid w:val="00040E95"/>
    <w:rsid w:val="00041B43"/>
    <w:rsid w:val="000428B2"/>
    <w:rsid w:val="00043991"/>
    <w:rsid w:val="0004696E"/>
    <w:rsid w:val="0005734D"/>
    <w:rsid w:val="00057EE8"/>
    <w:rsid w:val="00065F89"/>
    <w:rsid w:val="0006657A"/>
    <w:rsid w:val="00067EFC"/>
    <w:rsid w:val="00071BDB"/>
    <w:rsid w:val="00074E2F"/>
    <w:rsid w:val="0007795C"/>
    <w:rsid w:val="0008032B"/>
    <w:rsid w:val="0008190F"/>
    <w:rsid w:val="0008632B"/>
    <w:rsid w:val="00091AA7"/>
    <w:rsid w:val="000940F6"/>
    <w:rsid w:val="00095157"/>
    <w:rsid w:val="000B7790"/>
    <w:rsid w:val="000B7E5B"/>
    <w:rsid w:val="000D6F24"/>
    <w:rsid w:val="000E2884"/>
    <w:rsid w:val="000E4D66"/>
    <w:rsid w:val="000F09BF"/>
    <w:rsid w:val="000F1DA7"/>
    <w:rsid w:val="000F1FD4"/>
    <w:rsid w:val="000F6482"/>
    <w:rsid w:val="00101C75"/>
    <w:rsid w:val="00102A49"/>
    <w:rsid w:val="00104390"/>
    <w:rsid w:val="00107D96"/>
    <w:rsid w:val="00114E66"/>
    <w:rsid w:val="00117CCF"/>
    <w:rsid w:val="00122590"/>
    <w:rsid w:val="001227E0"/>
    <w:rsid w:val="0012798E"/>
    <w:rsid w:val="0013134D"/>
    <w:rsid w:val="00131D43"/>
    <w:rsid w:val="00137C95"/>
    <w:rsid w:val="001417FC"/>
    <w:rsid w:val="00143882"/>
    <w:rsid w:val="00150DC8"/>
    <w:rsid w:val="001521E0"/>
    <w:rsid w:val="00154CC9"/>
    <w:rsid w:val="00161805"/>
    <w:rsid w:val="0016617A"/>
    <w:rsid w:val="0018210B"/>
    <w:rsid w:val="00182F62"/>
    <w:rsid w:val="00192CF6"/>
    <w:rsid w:val="0019333E"/>
    <w:rsid w:val="00197B09"/>
    <w:rsid w:val="001A0E79"/>
    <w:rsid w:val="001A4D34"/>
    <w:rsid w:val="001B325D"/>
    <w:rsid w:val="001C05D0"/>
    <w:rsid w:val="001C37FE"/>
    <w:rsid w:val="001C4AF2"/>
    <w:rsid w:val="001C75F3"/>
    <w:rsid w:val="001D1217"/>
    <w:rsid w:val="001D75FC"/>
    <w:rsid w:val="001E5288"/>
    <w:rsid w:val="001F16B1"/>
    <w:rsid w:val="001F400B"/>
    <w:rsid w:val="0020004C"/>
    <w:rsid w:val="00212717"/>
    <w:rsid w:val="00213725"/>
    <w:rsid w:val="00213C98"/>
    <w:rsid w:val="00221D46"/>
    <w:rsid w:val="00226818"/>
    <w:rsid w:val="00232C28"/>
    <w:rsid w:val="00233D54"/>
    <w:rsid w:val="00240E16"/>
    <w:rsid w:val="00243BEA"/>
    <w:rsid w:val="00246124"/>
    <w:rsid w:val="00271A5B"/>
    <w:rsid w:val="00272E1B"/>
    <w:rsid w:val="00276809"/>
    <w:rsid w:val="0028303A"/>
    <w:rsid w:val="002831F6"/>
    <w:rsid w:val="00283303"/>
    <w:rsid w:val="002852A5"/>
    <w:rsid w:val="00285B3A"/>
    <w:rsid w:val="00286D96"/>
    <w:rsid w:val="002925B4"/>
    <w:rsid w:val="00295761"/>
    <w:rsid w:val="0029632F"/>
    <w:rsid w:val="002965EA"/>
    <w:rsid w:val="002A1EEE"/>
    <w:rsid w:val="002A2860"/>
    <w:rsid w:val="002A4321"/>
    <w:rsid w:val="002A5FE4"/>
    <w:rsid w:val="002A6C46"/>
    <w:rsid w:val="002C10B2"/>
    <w:rsid w:val="002C11BE"/>
    <w:rsid w:val="002C50A6"/>
    <w:rsid w:val="002C69A3"/>
    <w:rsid w:val="002E5676"/>
    <w:rsid w:val="002E7879"/>
    <w:rsid w:val="002F0657"/>
    <w:rsid w:val="002F0C0F"/>
    <w:rsid w:val="002F1EA4"/>
    <w:rsid w:val="002F3A09"/>
    <w:rsid w:val="002F3D40"/>
    <w:rsid w:val="00303F15"/>
    <w:rsid w:val="00305414"/>
    <w:rsid w:val="00307F31"/>
    <w:rsid w:val="00307F5D"/>
    <w:rsid w:val="00310BA3"/>
    <w:rsid w:val="00320EE3"/>
    <w:rsid w:val="003225CE"/>
    <w:rsid w:val="0032556E"/>
    <w:rsid w:val="00327CBE"/>
    <w:rsid w:val="00330942"/>
    <w:rsid w:val="003321F7"/>
    <w:rsid w:val="003375FA"/>
    <w:rsid w:val="00345070"/>
    <w:rsid w:val="00352D5D"/>
    <w:rsid w:val="00355795"/>
    <w:rsid w:val="00361D06"/>
    <w:rsid w:val="00367193"/>
    <w:rsid w:val="003725FD"/>
    <w:rsid w:val="0037487D"/>
    <w:rsid w:val="00381DAB"/>
    <w:rsid w:val="00383A9B"/>
    <w:rsid w:val="00393DBF"/>
    <w:rsid w:val="00393FF2"/>
    <w:rsid w:val="0039670B"/>
    <w:rsid w:val="00396DBE"/>
    <w:rsid w:val="0039741A"/>
    <w:rsid w:val="003B0EBE"/>
    <w:rsid w:val="003B3C87"/>
    <w:rsid w:val="003C2E2E"/>
    <w:rsid w:val="003C7014"/>
    <w:rsid w:val="003C7869"/>
    <w:rsid w:val="003D0F78"/>
    <w:rsid w:val="003D5BAB"/>
    <w:rsid w:val="003E5AD3"/>
    <w:rsid w:val="003E61D2"/>
    <w:rsid w:val="003E6FA7"/>
    <w:rsid w:val="003F0170"/>
    <w:rsid w:val="003F0707"/>
    <w:rsid w:val="003F1897"/>
    <w:rsid w:val="003F2AE2"/>
    <w:rsid w:val="003F351C"/>
    <w:rsid w:val="003F3D48"/>
    <w:rsid w:val="003F482D"/>
    <w:rsid w:val="003F5556"/>
    <w:rsid w:val="004022C7"/>
    <w:rsid w:val="00402906"/>
    <w:rsid w:val="00405342"/>
    <w:rsid w:val="00405DF1"/>
    <w:rsid w:val="004061C9"/>
    <w:rsid w:val="00406533"/>
    <w:rsid w:val="00412185"/>
    <w:rsid w:val="00417FB9"/>
    <w:rsid w:val="00425C06"/>
    <w:rsid w:val="00426924"/>
    <w:rsid w:val="00426F7F"/>
    <w:rsid w:val="00430612"/>
    <w:rsid w:val="00447CC7"/>
    <w:rsid w:val="00451D75"/>
    <w:rsid w:val="00461F92"/>
    <w:rsid w:val="00463699"/>
    <w:rsid w:val="00473A35"/>
    <w:rsid w:val="00473EC6"/>
    <w:rsid w:val="004824DE"/>
    <w:rsid w:val="004832A8"/>
    <w:rsid w:val="004933D8"/>
    <w:rsid w:val="00493DAA"/>
    <w:rsid w:val="004944FC"/>
    <w:rsid w:val="004A27CB"/>
    <w:rsid w:val="004A6FC1"/>
    <w:rsid w:val="004A7943"/>
    <w:rsid w:val="004B299E"/>
    <w:rsid w:val="004B526A"/>
    <w:rsid w:val="004B58D4"/>
    <w:rsid w:val="004B686F"/>
    <w:rsid w:val="004C1002"/>
    <w:rsid w:val="004C3407"/>
    <w:rsid w:val="004D00BE"/>
    <w:rsid w:val="004D04D0"/>
    <w:rsid w:val="004D06ED"/>
    <w:rsid w:val="004D3DB7"/>
    <w:rsid w:val="004D4D12"/>
    <w:rsid w:val="004D6E61"/>
    <w:rsid w:val="004E2D2F"/>
    <w:rsid w:val="004E310E"/>
    <w:rsid w:val="004E58B0"/>
    <w:rsid w:val="004E755A"/>
    <w:rsid w:val="005051F9"/>
    <w:rsid w:val="005061AC"/>
    <w:rsid w:val="00510588"/>
    <w:rsid w:val="005107AB"/>
    <w:rsid w:val="00515D84"/>
    <w:rsid w:val="00516342"/>
    <w:rsid w:val="00521359"/>
    <w:rsid w:val="0052240E"/>
    <w:rsid w:val="005375C9"/>
    <w:rsid w:val="00547F92"/>
    <w:rsid w:val="0056529A"/>
    <w:rsid w:val="005663EF"/>
    <w:rsid w:val="00566F2F"/>
    <w:rsid w:val="005720A0"/>
    <w:rsid w:val="005779EF"/>
    <w:rsid w:val="005838F0"/>
    <w:rsid w:val="00584693"/>
    <w:rsid w:val="00584BC1"/>
    <w:rsid w:val="00586606"/>
    <w:rsid w:val="00594AE1"/>
    <w:rsid w:val="00594FC6"/>
    <w:rsid w:val="0059618C"/>
    <w:rsid w:val="005977C3"/>
    <w:rsid w:val="005A32CF"/>
    <w:rsid w:val="005A615F"/>
    <w:rsid w:val="005A7801"/>
    <w:rsid w:val="005B1259"/>
    <w:rsid w:val="005B1DC9"/>
    <w:rsid w:val="005B2161"/>
    <w:rsid w:val="005C33F4"/>
    <w:rsid w:val="005D1FAE"/>
    <w:rsid w:val="005E0FA9"/>
    <w:rsid w:val="005E1D1A"/>
    <w:rsid w:val="005F0013"/>
    <w:rsid w:val="005F0937"/>
    <w:rsid w:val="005F2909"/>
    <w:rsid w:val="005F4BAD"/>
    <w:rsid w:val="005F520C"/>
    <w:rsid w:val="005F5B2A"/>
    <w:rsid w:val="005F61DD"/>
    <w:rsid w:val="005F64E5"/>
    <w:rsid w:val="00605F54"/>
    <w:rsid w:val="0061277E"/>
    <w:rsid w:val="00616543"/>
    <w:rsid w:val="00620AAD"/>
    <w:rsid w:val="00630945"/>
    <w:rsid w:val="0064361A"/>
    <w:rsid w:val="00643C3C"/>
    <w:rsid w:val="0064652E"/>
    <w:rsid w:val="00647266"/>
    <w:rsid w:val="00651495"/>
    <w:rsid w:val="00653556"/>
    <w:rsid w:val="00655A7C"/>
    <w:rsid w:val="00661524"/>
    <w:rsid w:val="00664AE6"/>
    <w:rsid w:val="00667565"/>
    <w:rsid w:val="00671C1F"/>
    <w:rsid w:val="00677C11"/>
    <w:rsid w:val="00683E56"/>
    <w:rsid w:val="00683E5F"/>
    <w:rsid w:val="006854FA"/>
    <w:rsid w:val="0068703D"/>
    <w:rsid w:val="00687898"/>
    <w:rsid w:val="00690B3D"/>
    <w:rsid w:val="00691124"/>
    <w:rsid w:val="006921C8"/>
    <w:rsid w:val="006934C8"/>
    <w:rsid w:val="0069523F"/>
    <w:rsid w:val="006C42C2"/>
    <w:rsid w:val="006D1D9D"/>
    <w:rsid w:val="006D3213"/>
    <w:rsid w:val="006E1E98"/>
    <w:rsid w:val="006E239C"/>
    <w:rsid w:val="006F1F8F"/>
    <w:rsid w:val="007009C6"/>
    <w:rsid w:val="00702C82"/>
    <w:rsid w:val="007167E2"/>
    <w:rsid w:val="00721DDD"/>
    <w:rsid w:val="00734F12"/>
    <w:rsid w:val="00740A0C"/>
    <w:rsid w:val="00741EC3"/>
    <w:rsid w:val="007436C1"/>
    <w:rsid w:val="00750269"/>
    <w:rsid w:val="00751B04"/>
    <w:rsid w:val="007546FB"/>
    <w:rsid w:val="007661AD"/>
    <w:rsid w:val="0077209D"/>
    <w:rsid w:val="0077427B"/>
    <w:rsid w:val="00775E57"/>
    <w:rsid w:val="00781249"/>
    <w:rsid w:val="0078325F"/>
    <w:rsid w:val="00783F37"/>
    <w:rsid w:val="00791911"/>
    <w:rsid w:val="0079422C"/>
    <w:rsid w:val="00794BC8"/>
    <w:rsid w:val="00794CA5"/>
    <w:rsid w:val="007A0047"/>
    <w:rsid w:val="007A3086"/>
    <w:rsid w:val="007C335C"/>
    <w:rsid w:val="007C41E4"/>
    <w:rsid w:val="007C4DEC"/>
    <w:rsid w:val="007D0410"/>
    <w:rsid w:val="007D4D6E"/>
    <w:rsid w:val="007D599D"/>
    <w:rsid w:val="007D72EE"/>
    <w:rsid w:val="007D77B1"/>
    <w:rsid w:val="007E2F3E"/>
    <w:rsid w:val="007E46A9"/>
    <w:rsid w:val="007E60C6"/>
    <w:rsid w:val="007E71CF"/>
    <w:rsid w:val="007F4E61"/>
    <w:rsid w:val="0081544B"/>
    <w:rsid w:val="00820474"/>
    <w:rsid w:val="00827358"/>
    <w:rsid w:val="0083211D"/>
    <w:rsid w:val="00832C3C"/>
    <w:rsid w:val="008425EE"/>
    <w:rsid w:val="00846249"/>
    <w:rsid w:val="00855EC8"/>
    <w:rsid w:val="00870139"/>
    <w:rsid w:val="00872B64"/>
    <w:rsid w:val="00877BE8"/>
    <w:rsid w:val="00880668"/>
    <w:rsid w:val="008863B2"/>
    <w:rsid w:val="008869F4"/>
    <w:rsid w:val="008877B6"/>
    <w:rsid w:val="00891A76"/>
    <w:rsid w:val="0089297C"/>
    <w:rsid w:val="008944A1"/>
    <w:rsid w:val="008A12C8"/>
    <w:rsid w:val="008A1609"/>
    <w:rsid w:val="008B0D50"/>
    <w:rsid w:val="008B2A85"/>
    <w:rsid w:val="008B408F"/>
    <w:rsid w:val="008B686C"/>
    <w:rsid w:val="008C3F32"/>
    <w:rsid w:val="008D0B06"/>
    <w:rsid w:val="008D148E"/>
    <w:rsid w:val="008D29DB"/>
    <w:rsid w:val="008D2AF6"/>
    <w:rsid w:val="008D2E3C"/>
    <w:rsid w:val="008D3E8F"/>
    <w:rsid w:val="008D43E5"/>
    <w:rsid w:val="008D6032"/>
    <w:rsid w:val="008E2A0B"/>
    <w:rsid w:val="008E3C54"/>
    <w:rsid w:val="008F101A"/>
    <w:rsid w:val="008F450C"/>
    <w:rsid w:val="008F6AC0"/>
    <w:rsid w:val="0090022C"/>
    <w:rsid w:val="009013D0"/>
    <w:rsid w:val="00923EDC"/>
    <w:rsid w:val="00931D76"/>
    <w:rsid w:val="00942373"/>
    <w:rsid w:val="00942722"/>
    <w:rsid w:val="00942D03"/>
    <w:rsid w:val="00944746"/>
    <w:rsid w:val="00944C8C"/>
    <w:rsid w:val="00950691"/>
    <w:rsid w:val="00951BDC"/>
    <w:rsid w:val="00957380"/>
    <w:rsid w:val="0095740D"/>
    <w:rsid w:val="00957E25"/>
    <w:rsid w:val="00970A6B"/>
    <w:rsid w:val="00973C01"/>
    <w:rsid w:val="00986E4E"/>
    <w:rsid w:val="009932F0"/>
    <w:rsid w:val="0099740C"/>
    <w:rsid w:val="009975BA"/>
    <w:rsid w:val="009A65CF"/>
    <w:rsid w:val="009B01B3"/>
    <w:rsid w:val="009B2F49"/>
    <w:rsid w:val="009B3CE2"/>
    <w:rsid w:val="009B4ED3"/>
    <w:rsid w:val="009C04CE"/>
    <w:rsid w:val="009C0C84"/>
    <w:rsid w:val="009C2023"/>
    <w:rsid w:val="009C490F"/>
    <w:rsid w:val="009D4D8A"/>
    <w:rsid w:val="009D557A"/>
    <w:rsid w:val="009E2750"/>
    <w:rsid w:val="009E32C0"/>
    <w:rsid w:val="009E3674"/>
    <w:rsid w:val="009F0EE9"/>
    <w:rsid w:val="009F629A"/>
    <w:rsid w:val="00A017EA"/>
    <w:rsid w:val="00A04C24"/>
    <w:rsid w:val="00A05BDB"/>
    <w:rsid w:val="00A079E0"/>
    <w:rsid w:val="00A1420B"/>
    <w:rsid w:val="00A20405"/>
    <w:rsid w:val="00A24E84"/>
    <w:rsid w:val="00A250AE"/>
    <w:rsid w:val="00A254B8"/>
    <w:rsid w:val="00A2594D"/>
    <w:rsid w:val="00A26554"/>
    <w:rsid w:val="00A324B3"/>
    <w:rsid w:val="00A3482D"/>
    <w:rsid w:val="00A412B8"/>
    <w:rsid w:val="00A50524"/>
    <w:rsid w:val="00A50B49"/>
    <w:rsid w:val="00A52E14"/>
    <w:rsid w:val="00A532D1"/>
    <w:rsid w:val="00A543C0"/>
    <w:rsid w:val="00A60821"/>
    <w:rsid w:val="00A701E9"/>
    <w:rsid w:val="00A70730"/>
    <w:rsid w:val="00A80962"/>
    <w:rsid w:val="00A82AE0"/>
    <w:rsid w:val="00A8530D"/>
    <w:rsid w:val="00A93767"/>
    <w:rsid w:val="00A93C20"/>
    <w:rsid w:val="00A968EE"/>
    <w:rsid w:val="00AA42DC"/>
    <w:rsid w:val="00AA73E3"/>
    <w:rsid w:val="00AA74AD"/>
    <w:rsid w:val="00AB2BDD"/>
    <w:rsid w:val="00AB4693"/>
    <w:rsid w:val="00AC71C4"/>
    <w:rsid w:val="00AD1511"/>
    <w:rsid w:val="00AD266E"/>
    <w:rsid w:val="00AD2CCF"/>
    <w:rsid w:val="00AD4E7F"/>
    <w:rsid w:val="00AD5865"/>
    <w:rsid w:val="00AE2B8A"/>
    <w:rsid w:val="00AE6D79"/>
    <w:rsid w:val="00AE737B"/>
    <w:rsid w:val="00AE79D4"/>
    <w:rsid w:val="00AF519F"/>
    <w:rsid w:val="00AF5E36"/>
    <w:rsid w:val="00AF6959"/>
    <w:rsid w:val="00B10BAA"/>
    <w:rsid w:val="00B14605"/>
    <w:rsid w:val="00B17517"/>
    <w:rsid w:val="00B2753F"/>
    <w:rsid w:val="00B34ECD"/>
    <w:rsid w:val="00B4231D"/>
    <w:rsid w:val="00B50BAB"/>
    <w:rsid w:val="00B51007"/>
    <w:rsid w:val="00B51F7D"/>
    <w:rsid w:val="00B6099B"/>
    <w:rsid w:val="00B62506"/>
    <w:rsid w:val="00B626A8"/>
    <w:rsid w:val="00B67D86"/>
    <w:rsid w:val="00B73273"/>
    <w:rsid w:val="00B76F31"/>
    <w:rsid w:val="00B80774"/>
    <w:rsid w:val="00B82A95"/>
    <w:rsid w:val="00B94E29"/>
    <w:rsid w:val="00BB4864"/>
    <w:rsid w:val="00BC5720"/>
    <w:rsid w:val="00BE190C"/>
    <w:rsid w:val="00BE1C16"/>
    <w:rsid w:val="00BE7501"/>
    <w:rsid w:val="00BF0EB7"/>
    <w:rsid w:val="00C03052"/>
    <w:rsid w:val="00C04EF4"/>
    <w:rsid w:val="00C0539A"/>
    <w:rsid w:val="00C062C0"/>
    <w:rsid w:val="00C0691F"/>
    <w:rsid w:val="00C118C3"/>
    <w:rsid w:val="00C166B4"/>
    <w:rsid w:val="00C16ED1"/>
    <w:rsid w:val="00C2302B"/>
    <w:rsid w:val="00C30441"/>
    <w:rsid w:val="00C312B1"/>
    <w:rsid w:val="00C31536"/>
    <w:rsid w:val="00C31926"/>
    <w:rsid w:val="00C337D0"/>
    <w:rsid w:val="00C400FD"/>
    <w:rsid w:val="00C422E4"/>
    <w:rsid w:val="00C43930"/>
    <w:rsid w:val="00C453A1"/>
    <w:rsid w:val="00C4796E"/>
    <w:rsid w:val="00C6083A"/>
    <w:rsid w:val="00C61830"/>
    <w:rsid w:val="00C67F82"/>
    <w:rsid w:val="00C777AD"/>
    <w:rsid w:val="00C809A2"/>
    <w:rsid w:val="00C81CCD"/>
    <w:rsid w:val="00C826D4"/>
    <w:rsid w:val="00C85803"/>
    <w:rsid w:val="00CA475F"/>
    <w:rsid w:val="00CB3054"/>
    <w:rsid w:val="00CB3B82"/>
    <w:rsid w:val="00CB46E3"/>
    <w:rsid w:val="00CB6CE2"/>
    <w:rsid w:val="00CC0A53"/>
    <w:rsid w:val="00CC0D72"/>
    <w:rsid w:val="00CC1749"/>
    <w:rsid w:val="00CC3984"/>
    <w:rsid w:val="00CD3AA5"/>
    <w:rsid w:val="00CD7141"/>
    <w:rsid w:val="00CE6DB0"/>
    <w:rsid w:val="00CF0491"/>
    <w:rsid w:val="00CF5D8D"/>
    <w:rsid w:val="00CF6D71"/>
    <w:rsid w:val="00D0113B"/>
    <w:rsid w:val="00D05CE6"/>
    <w:rsid w:val="00D101C5"/>
    <w:rsid w:val="00D13352"/>
    <w:rsid w:val="00D148CC"/>
    <w:rsid w:val="00D15509"/>
    <w:rsid w:val="00D15A39"/>
    <w:rsid w:val="00D2160D"/>
    <w:rsid w:val="00D273EB"/>
    <w:rsid w:val="00D41A15"/>
    <w:rsid w:val="00D43EE5"/>
    <w:rsid w:val="00D50434"/>
    <w:rsid w:val="00D5099E"/>
    <w:rsid w:val="00D509F3"/>
    <w:rsid w:val="00D51F30"/>
    <w:rsid w:val="00D612D6"/>
    <w:rsid w:val="00D70579"/>
    <w:rsid w:val="00D75A55"/>
    <w:rsid w:val="00D854AD"/>
    <w:rsid w:val="00D87BF8"/>
    <w:rsid w:val="00D92D29"/>
    <w:rsid w:val="00D93A7D"/>
    <w:rsid w:val="00D9474D"/>
    <w:rsid w:val="00D970C0"/>
    <w:rsid w:val="00DA0D62"/>
    <w:rsid w:val="00DA1917"/>
    <w:rsid w:val="00DA1E3A"/>
    <w:rsid w:val="00DA3219"/>
    <w:rsid w:val="00DA5362"/>
    <w:rsid w:val="00DA60CA"/>
    <w:rsid w:val="00DC3E80"/>
    <w:rsid w:val="00DC7331"/>
    <w:rsid w:val="00DE146D"/>
    <w:rsid w:val="00DE3F27"/>
    <w:rsid w:val="00DE6C7E"/>
    <w:rsid w:val="00DE768F"/>
    <w:rsid w:val="00DE7801"/>
    <w:rsid w:val="00DF240A"/>
    <w:rsid w:val="00DF759D"/>
    <w:rsid w:val="00E03C78"/>
    <w:rsid w:val="00E0572C"/>
    <w:rsid w:val="00E0751D"/>
    <w:rsid w:val="00E07575"/>
    <w:rsid w:val="00E125C1"/>
    <w:rsid w:val="00E129FA"/>
    <w:rsid w:val="00E12AB8"/>
    <w:rsid w:val="00E13939"/>
    <w:rsid w:val="00E1558D"/>
    <w:rsid w:val="00E240A0"/>
    <w:rsid w:val="00E27426"/>
    <w:rsid w:val="00E30A63"/>
    <w:rsid w:val="00E36DE1"/>
    <w:rsid w:val="00E47C05"/>
    <w:rsid w:val="00E507D6"/>
    <w:rsid w:val="00E53006"/>
    <w:rsid w:val="00E60D41"/>
    <w:rsid w:val="00E62DCE"/>
    <w:rsid w:val="00E70919"/>
    <w:rsid w:val="00E71FEB"/>
    <w:rsid w:val="00E729D8"/>
    <w:rsid w:val="00E72D55"/>
    <w:rsid w:val="00E73A68"/>
    <w:rsid w:val="00E80979"/>
    <w:rsid w:val="00E83A15"/>
    <w:rsid w:val="00E9470B"/>
    <w:rsid w:val="00E95D3B"/>
    <w:rsid w:val="00E96630"/>
    <w:rsid w:val="00E9762A"/>
    <w:rsid w:val="00EA3030"/>
    <w:rsid w:val="00EA6769"/>
    <w:rsid w:val="00EB3CEE"/>
    <w:rsid w:val="00EB68B1"/>
    <w:rsid w:val="00EB6D1F"/>
    <w:rsid w:val="00EB7CC6"/>
    <w:rsid w:val="00EC148C"/>
    <w:rsid w:val="00EC1977"/>
    <w:rsid w:val="00ED5B1D"/>
    <w:rsid w:val="00ED7526"/>
    <w:rsid w:val="00EE2E1E"/>
    <w:rsid w:val="00EE3114"/>
    <w:rsid w:val="00EE49C6"/>
    <w:rsid w:val="00EE6B83"/>
    <w:rsid w:val="00EF7EE4"/>
    <w:rsid w:val="00F00B3E"/>
    <w:rsid w:val="00F03DAB"/>
    <w:rsid w:val="00F0747F"/>
    <w:rsid w:val="00F115C7"/>
    <w:rsid w:val="00F1337F"/>
    <w:rsid w:val="00F235FA"/>
    <w:rsid w:val="00F23F29"/>
    <w:rsid w:val="00F277A2"/>
    <w:rsid w:val="00F306E4"/>
    <w:rsid w:val="00F37F30"/>
    <w:rsid w:val="00F41C80"/>
    <w:rsid w:val="00F4463E"/>
    <w:rsid w:val="00F50059"/>
    <w:rsid w:val="00F5168C"/>
    <w:rsid w:val="00F53E65"/>
    <w:rsid w:val="00F5653C"/>
    <w:rsid w:val="00F60BC8"/>
    <w:rsid w:val="00F61430"/>
    <w:rsid w:val="00F6220B"/>
    <w:rsid w:val="00F65453"/>
    <w:rsid w:val="00F753D4"/>
    <w:rsid w:val="00F7573E"/>
    <w:rsid w:val="00F7661A"/>
    <w:rsid w:val="00F83746"/>
    <w:rsid w:val="00F8692D"/>
    <w:rsid w:val="00F92CDD"/>
    <w:rsid w:val="00F93C0C"/>
    <w:rsid w:val="00F9457A"/>
    <w:rsid w:val="00F9592F"/>
    <w:rsid w:val="00F9655B"/>
    <w:rsid w:val="00F96FF3"/>
    <w:rsid w:val="00F97094"/>
    <w:rsid w:val="00FA062D"/>
    <w:rsid w:val="00FA6E13"/>
    <w:rsid w:val="00FB0F17"/>
    <w:rsid w:val="00FB2C93"/>
    <w:rsid w:val="00FB3144"/>
    <w:rsid w:val="00FC6D6C"/>
    <w:rsid w:val="00FD0A32"/>
    <w:rsid w:val="00FE2F9A"/>
    <w:rsid w:val="00FE5BD4"/>
    <w:rsid w:val="00FF6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35C0C2"/>
  <w15:docId w15:val="{5FD43B77-BF4E-4786-9747-3DA34B9C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D62"/>
    <w:pPr>
      <w:widowControl w:val="0"/>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A82AE0"/>
    <w:pPr>
      <w:shd w:val="clear" w:color="auto" w:fill="000080"/>
    </w:pPr>
  </w:style>
  <w:style w:type="character" w:customStyle="1" w:styleId="Char">
    <w:name w:val="文档结构图 Char"/>
    <w:basedOn w:val="a0"/>
    <w:link w:val="a3"/>
    <w:uiPriority w:val="99"/>
    <w:semiHidden/>
    <w:locked/>
    <w:rsid w:val="00A968EE"/>
    <w:rPr>
      <w:rFonts w:ascii="Times New Roman" w:hAnsi="Times New Roman" w:cs="Times New Roman"/>
      <w:sz w:val="2"/>
    </w:rPr>
  </w:style>
  <w:style w:type="paragraph" w:styleId="a4">
    <w:name w:val="header"/>
    <w:basedOn w:val="a"/>
    <w:link w:val="Char0"/>
    <w:uiPriority w:val="99"/>
    <w:rsid w:val="00A82AE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A968EE"/>
    <w:rPr>
      <w:rFonts w:ascii="Times New Roman" w:hAnsi="Times New Roman" w:cs="Times New Roman"/>
      <w:sz w:val="18"/>
      <w:szCs w:val="18"/>
    </w:rPr>
  </w:style>
  <w:style w:type="paragraph" w:styleId="a5">
    <w:name w:val="footer"/>
    <w:basedOn w:val="a"/>
    <w:link w:val="Char1"/>
    <w:uiPriority w:val="99"/>
    <w:rsid w:val="00A82AE0"/>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A968EE"/>
    <w:rPr>
      <w:rFonts w:ascii="Times New Roman" w:hAnsi="Times New Roman" w:cs="Times New Roman"/>
      <w:sz w:val="18"/>
      <w:szCs w:val="18"/>
    </w:rPr>
  </w:style>
  <w:style w:type="paragraph" w:styleId="a6">
    <w:name w:val="Balloon Text"/>
    <w:basedOn w:val="a"/>
    <w:link w:val="Char2"/>
    <w:uiPriority w:val="99"/>
    <w:semiHidden/>
    <w:unhideWhenUsed/>
    <w:rsid w:val="007546FB"/>
    <w:rPr>
      <w:sz w:val="18"/>
      <w:szCs w:val="18"/>
    </w:rPr>
  </w:style>
  <w:style w:type="character" w:customStyle="1" w:styleId="Char2">
    <w:name w:val="批注框文本 Char"/>
    <w:basedOn w:val="a0"/>
    <w:link w:val="a6"/>
    <w:uiPriority w:val="99"/>
    <w:semiHidden/>
    <w:rsid w:val="007546FB"/>
    <w:rPr>
      <w:rFonts w:ascii="Times New Roman" w:hAnsi="Times New Roman"/>
      <w:sz w:val="18"/>
      <w:szCs w:val="18"/>
    </w:rPr>
  </w:style>
  <w:style w:type="paragraph" w:styleId="a7">
    <w:name w:val="List Paragraph"/>
    <w:basedOn w:val="a"/>
    <w:uiPriority w:val="34"/>
    <w:qFormat/>
    <w:rsid w:val="00594AE1"/>
    <w:pPr>
      <w:ind w:firstLineChars="200" w:firstLine="420"/>
    </w:pPr>
  </w:style>
  <w:style w:type="character" w:styleId="a8">
    <w:name w:val="annotation reference"/>
    <w:basedOn w:val="a0"/>
    <w:uiPriority w:val="99"/>
    <w:semiHidden/>
    <w:unhideWhenUsed/>
    <w:rsid w:val="003C7869"/>
    <w:rPr>
      <w:sz w:val="21"/>
      <w:szCs w:val="21"/>
    </w:rPr>
  </w:style>
  <w:style w:type="paragraph" w:styleId="a9">
    <w:name w:val="annotation text"/>
    <w:basedOn w:val="a"/>
    <w:link w:val="Char3"/>
    <w:uiPriority w:val="99"/>
    <w:semiHidden/>
    <w:unhideWhenUsed/>
    <w:rsid w:val="003C7869"/>
    <w:pPr>
      <w:jc w:val="left"/>
    </w:pPr>
  </w:style>
  <w:style w:type="character" w:customStyle="1" w:styleId="Char3">
    <w:name w:val="批注文字 Char"/>
    <w:basedOn w:val="a0"/>
    <w:link w:val="a9"/>
    <w:uiPriority w:val="99"/>
    <w:semiHidden/>
    <w:rsid w:val="003C7869"/>
    <w:rPr>
      <w:rFonts w:ascii="Times New Roman" w:hAnsi="Times New Roman"/>
      <w:szCs w:val="20"/>
    </w:rPr>
  </w:style>
  <w:style w:type="paragraph" w:styleId="aa">
    <w:name w:val="annotation subject"/>
    <w:basedOn w:val="a9"/>
    <w:next w:val="a9"/>
    <w:link w:val="Char4"/>
    <w:uiPriority w:val="99"/>
    <w:semiHidden/>
    <w:unhideWhenUsed/>
    <w:rsid w:val="003C7869"/>
    <w:rPr>
      <w:b/>
      <w:bCs/>
    </w:rPr>
  </w:style>
  <w:style w:type="character" w:customStyle="1" w:styleId="Char4">
    <w:name w:val="批注主题 Char"/>
    <w:basedOn w:val="Char3"/>
    <w:link w:val="aa"/>
    <w:uiPriority w:val="99"/>
    <w:semiHidden/>
    <w:rsid w:val="003C7869"/>
    <w:rPr>
      <w:rFonts w:ascii="Times New Roman" w:hAnsi="Times New Roman"/>
      <w:b/>
      <w:bCs/>
      <w:szCs w:val="20"/>
    </w:rPr>
  </w:style>
  <w:style w:type="paragraph" w:styleId="ab">
    <w:name w:val="Revision"/>
    <w:hidden/>
    <w:uiPriority w:val="99"/>
    <w:semiHidden/>
    <w:rsid w:val="00F9655B"/>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18774">
      <w:bodyDiv w:val="1"/>
      <w:marLeft w:val="0"/>
      <w:marRight w:val="0"/>
      <w:marTop w:val="0"/>
      <w:marBottom w:val="0"/>
      <w:divBdr>
        <w:top w:val="none" w:sz="0" w:space="0" w:color="auto"/>
        <w:left w:val="none" w:sz="0" w:space="0" w:color="auto"/>
        <w:bottom w:val="none" w:sz="0" w:space="0" w:color="auto"/>
        <w:right w:val="none" w:sz="0" w:space="0" w:color="auto"/>
      </w:divBdr>
      <w:divsChild>
        <w:div w:id="1661301574">
          <w:marLeft w:val="274"/>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2D33-060E-4C6B-A4D7-28E89248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318</Words>
  <Characters>1814</Characters>
  <Application>Microsoft Office Word</Application>
  <DocSecurity>0</DocSecurity>
  <Lines>15</Lines>
  <Paragraphs>4</Paragraphs>
  <ScaleCrop>false</ScaleCrop>
  <Company>Microsoft</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 zhenbiao 王振标</dc:creator>
  <cp:lastModifiedBy>zhang ting 张婷</cp:lastModifiedBy>
  <cp:revision>6</cp:revision>
  <cp:lastPrinted>2016-11-03T13:37:00Z</cp:lastPrinted>
  <dcterms:created xsi:type="dcterms:W3CDTF">2019-04-28T07:20:00Z</dcterms:created>
  <dcterms:modified xsi:type="dcterms:W3CDTF">2019-04-28T11:11:00Z</dcterms:modified>
</cp:coreProperties>
</file>