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156" w:beforeLines="50" w:after="156" w:afterLines="50" w:line="400" w:lineRule="exact"/>
        <w:rPr>
          <w:bCs/>
          <w:iCs/>
          <w:sz w:val="24"/>
        </w:rPr>
      </w:pPr>
      <w:r>
        <w:rPr>
          <w:bCs/>
          <w:iCs/>
          <w:sz w:val="24"/>
        </w:rPr>
        <w:t>证券代码：000969                                   证券简称：安泰科技</w:t>
      </w:r>
    </w:p>
    <w:p>
      <w:pPr>
        <w:spacing w:before="156" w:beforeLines="50" w:after="156" w:afterLines="50" w:line="400" w:lineRule="exact"/>
        <w:jc w:val="center"/>
        <w:rPr>
          <w:b/>
          <w:bCs/>
          <w:iCs/>
          <w:sz w:val="32"/>
          <w:szCs w:val="32"/>
        </w:rPr>
      </w:pPr>
      <w:r>
        <w:rPr>
          <w:b/>
          <w:bCs/>
          <w:iCs/>
          <w:sz w:val="32"/>
          <w:szCs w:val="32"/>
        </w:rPr>
        <w:t>安泰科技股份有限公司投资者关系活动记录表</w:t>
      </w:r>
    </w:p>
    <w:p>
      <w:pPr>
        <w:spacing w:line="400" w:lineRule="exact"/>
        <w:rPr>
          <w:bCs/>
          <w:iCs/>
          <w:sz w:val="24"/>
        </w:rPr>
      </w:pPr>
      <w:r>
        <w:rPr>
          <w:bCs/>
          <w:iCs/>
          <w:sz w:val="24"/>
        </w:rPr>
        <w:t xml:space="preserve">                                                        编号：201</w:t>
      </w:r>
      <w:r>
        <w:rPr>
          <w:rFonts w:hint="eastAsia"/>
          <w:bCs/>
          <w:iCs/>
          <w:sz w:val="24"/>
          <w:lang w:val="en-US" w:eastAsia="zh-CN"/>
        </w:rPr>
        <w:t>9</w:t>
      </w:r>
      <w:r>
        <w:rPr>
          <w:bCs/>
          <w:iCs/>
          <w:sz w:val="24"/>
        </w:rPr>
        <w:t>-00</w:t>
      </w:r>
      <w:r>
        <w:rPr>
          <w:rFonts w:hint="eastAsia"/>
          <w:bCs/>
          <w:iCs/>
          <w:sz w:val="24"/>
          <w:lang w:val="en-US" w:eastAsia="zh-CN"/>
        </w:rPr>
        <w:t>3</w:t>
      </w:r>
    </w:p>
    <w:tbl>
      <w:tblPr>
        <w:tblStyle w:val="10"/>
        <w:tblW w:w="92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bCs/>
                <w:iCs/>
                <w:sz w:val="24"/>
                <w:highlight w:val="none"/>
              </w:rPr>
            </w:pPr>
            <w:r>
              <w:rPr>
                <w:bCs/>
                <w:iCs/>
                <w:sz w:val="24"/>
                <w:highlight w:val="none"/>
              </w:rPr>
              <w:t>投资者关系</w:t>
            </w:r>
          </w:p>
          <w:p>
            <w:pPr>
              <w:spacing w:line="360" w:lineRule="auto"/>
              <w:jc w:val="center"/>
              <w:rPr>
                <w:bCs/>
                <w:iCs/>
                <w:sz w:val="24"/>
                <w:highlight w:val="none"/>
              </w:rPr>
            </w:pPr>
            <w:r>
              <w:rPr>
                <w:bCs/>
                <w:iCs/>
                <w:sz w:val="24"/>
                <w:highlight w:val="none"/>
              </w:rPr>
              <w:t>活动类别</w:t>
            </w:r>
          </w:p>
        </w:tc>
        <w:tc>
          <w:tcPr>
            <w:tcW w:w="7322" w:type="dxa"/>
            <w:tcBorders>
              <w:top w:val="single" w:color="auto" w:sz="4" w:space="0"/>
              <w:left w:val="single" w:color="auto" w:sz="4" w:space="0"/>
              <w:bottom w:val="single" w:color="auto" w:sz="4" w:space="0"/>
              <w:right w:val="single" w:color="auto" w:sz="4" w:space="0"/>
            </w:tcBorders>
            <w:vAlign w:val="top"/>
          </w:tcPr>
          <w:p>
            <w:pPr>
              <w:spacing w:line="360" w:lineRule="auto"/>
              <w:rPr>
                <w:bCs/>
                <w:iCs/>
                <w:sz w:val="24"/>
                <w:highlight w:val="none"/>
              </w:rPr>
            </w:pPr>
            <w:r>
              <w:rPr>
                <w:bCs/>
                <w:iCs/>
                <w:sz w:val="24"/>
                <w:highlight w:val="none"/>
              </w:rPr>
              <w:t>■</w:t>
            </w:r>
            <w:r>
              <w:rPr>
                <w:sz w:val="24"/>
                <w:highlight w:val="none"/>
              </w:rPr>
              <w:t xml:space="preserve">特定对象调研        </w:t>
            </w:r>
            <w:r>
              <w:rPr>
                <w:bCs/>
                <w:iCs/>
                <w:sz w:val="24"/>
                <w:highlight w:val="none"/>
              </w:rPr>
              <w:t>□</w:t>
            </w:r>
            <w:r>
              <w:rPr>
                <w:sz w:val="24"/>
                <w:highlight w:val="none"/>
              </w:rPr>
              <w:t>分析师会议</w:t>
            </w:r>
          </w:p>
          <w:p>
            <w:pPr>
              <w:spacing w:line="360" w:lineRule="auto"/>
              <w:rPr>
                <w:bCs/>
                <w:iCs/>
                <w:sz w:val="24"/>
                <w:highlight w:val="none"/>
              </w:rPr>
            </w:pPr>
            <w:r>
              <w:rPr>
                <w:bCs/>
                <w:iCs/>
                <w:sz w:val="24"/>
                <w:highlight w:val="none"/>
              </w:rPr>
              <w:t>□</w:t>
            </w:r>
            <w:r>
              <w:rPr>
                <w:sz w:val="24"/>
                <w:highlight w:val="none"/>
              </w:rPr>
              <w:t xml:space="preserve">媒体采访            </w:t>
            </w:r>
            <w:r>
              <w:rPr>
                <w:bCs/>
                <w:iCs/>
                <w:sz w:val="24"/>
                <w:highlight w:val="none"/>
              </w:rPr>
              <w:t>□</w:t>
            </w:r>
            <w:r>
              <w:rPr>
                <w:sz w:val="24"/>
                <w:highlight w:val="none"/>
              </w:rPr>
              <w:t>业绩说明会</w:t>
            </w:r>
          </w:p>
          <w:p>
            <w:pPr>
              <w:spacing w:line="360" w:lineRule="auto"/>
              <w:rPr>
                <w:bCs/>
                <w:iCs/>
                <w:sz w:val="24"/>
                <w:highlight w:val="none"/>
              </w:rPr>
            </w:pPr>
            <w:r>
              <w:rPr>
                <w:bCs/>
                <w:iCs/>
                <w:sz w:val="24"/>
                <w:highlight w:val="none"/>
              </w:rPr>
              <w:t>□</w:t>
            </w:r>
            <w:r>
              <w:rPr>
                <w:sz w:val="24"/>
                <w:highlight w:val="none"/>
              </w:rPr>
              <w:t xml:space="preserve">新闻发布会          </w:t>
            </w:r>
            <w:r>
              <w:rPr>
                <w:bCs/>
                <w:iCs/>
                <w:sz w:val="24"/>
                <w:highlight w:val="none"/>
              </w:rPr>
              <w:t>□</w:t>
            </w:r>
            <w:r>
              <w:rPr>
                <w:sz w:val="24"/>
                <w:highlight w:val="none"/>
              </w:rPr>
              <w:t>路演活动</w:t>
            </w:r>
          </w:p>
          <w:p>
            <w:pPr>
              <w:tabs>
                <w:tab w:val="center" w:pos="3199"/>
              </w:tabs>
              <w:spacing w:line="360" w:lineRule="auto"/>
              <w:rPr>
                <w:bCs/>
                <w:iCs/>
                <w:sz w:val="24"/>
                <w:highlight w:val="none"/>
              </w:rPr>
            </w:pPr>
            <w:r>
              <w:rPr>
                <w:bCs/>
                <w:iCs/>
                <w:sz w:val="24"/>
                <w:highlight w:val="none"/>
              </w:rPr>
              <w:t>□</w:t>
            </w:r>
            <w:r>
              <w:rPr>
                <w:sz w:val="24"/>
                <w:highlight w:val="none"/>
              </w:rPr>
              <w:t>现场参观</w:t>
            </w:r>
            <w:r>
              <w:rPr>
                <w:bCs/>
                <w:iCs/>
                <w:sz w:val="24"/>
                <w:highlight w:val="none"/>
              </w:rPr>
              <w:t xml:space="preserve">            □</w:t>
            </w:r>
            <w:r>
              <w:rPr>
                <w:sz w:val="24"/>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bCs/>
                <w:iCs/>
                <w:sz w:val="24"/>
                <w:highlight w:val="none"/>
              </w:rPr>
            </w:pPr>
            <w:r>
              <w:rPr>
                <w:bCs/>
                <w:iCs/>
                <w:sz w:val="24"/>
                <w:highlight w:val="none"/>
              </w:rPr>
              <w:t>参与单位名称</w:t>
            </w:r>
          </w:p>
          <w:p>
            <w:pPr>
              <w:spacing w:line="360" w:lineRule="auto"/>
              <w:jc w:val="center"/>
              <w:rPr>
                <w:bCs/>
                <w:iCs/>
                <w:sz w:val="24"/>
                <w:highlight w:val="none"/>
              </w:rPr>
            </w:pPr>
            <w:r>
              <w:rPr>
                <w:bCs/>
                <w:iCs/>
                <w:sz w:val="24"/>
                <w:highlight w:val="none"/>
              </w:rPr>
              <w:t>及人员姓名</w:t>
            </w:r>
          </w:p>
        </w:tc>
        <w:tc>
          <w:tcPr>
            <w:tcW w:w="7322"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bCs/>
                <w:iCs/>
                <w:sz w:val="24"/>
                <w:szCs w:val="24"/>
                <w:highlight w:val="none"/>
              </w:rPr>
            </w:pPr>
            <w:r>
              <w:rPr>
                <w:rFonts w:hint="eastAsia"/>
                <w:sz w:val="24"/>
                <w:szCs w:val="24"/>
                <w:lang w:val="en-US" w:eastAsia="zh-CN"/>
              </w:rPr>
              <w:t>广发证券</w:t>
            </w:r>
            <w:r>
              <w:rPr>
                <w:rFonts w:hint="eastAsia"/>
                <w:sz w:val="24"/>
                <w:szCs w:val="24"/>
              </w:rPr>
              <w:t>—</w:t>
            </w:r>
            <w:r>
              <w:rPr>
                <w:rFonts w:hint="eastAsia"/>
                <w:sz w:val="24"/>
                <w:szCs w:val="24"/>
                <w:lang w:val="en-US" w:eastAsia="zh-CN"/>
              </w:rPr>
              <w:t>宫帅</w:t>
            </w:r>
            <w:r>
              <w:rPr>
                <w:rFonts w:hint="eastAsia"/>
                <w:sz w:val="24"/>
                <w:szCs w:val="24"/>
              </w:rPr>
              <w:t>，</w:t>
            </w:r>
            <w:r>
              <w:rPr>
                <w:rFonts w:hint="eastAsia"/>
                <w:sz w:val="24"/>
                <w:szCs w:val="24"/>
                <w:lang w:val="en-US" w:eastAsia="zh-CN"/>
              </w:rPr>
              <w:t>安信证券</w:t>
            </w:r>
            <w:r>
              <w:rPr>
                <w:rFonts w:hint="eastAsia"/>
                <w:sz w:val="24"/>
                <w:szCs w:val="24"/>
              </w:rPr>
              <w:t>—</w:t>
            </w:r>
            <w:r>
              <w:rPr>
                <w:rFonts w:hint="eastAsia"/>
                <w:sz w:val="24"/>
                <w:szCs w:val="24"/>
                <w:lang w:val="en-US" w:eastAsia="zh-CN"/>
              </w:rPr>
              <w:t>王政，天风证券—王小芃，财通证券——马妍，国融方舟—郑量文、赵慧广、宋尚霖，兴业证券-何静，方正证券—刘育华，润晖投资—</w:t>
            </w:r>
            <w:r>
              <w:rPr>
                <w:rFonts w:hint="eastAsia"/>
                <w:sz w:val="24"/>
                <w:szCs w:val="24"/>
                <w:highlight w:val="none"/>
                <w:lang w:val="en-US" w:eastAsia="zh-CN"/>
              </w:rPr>
              <w:t>蒋暘晶，</w:t>
            </w:r>
            <w:r>
              <w:rPr>
                <w:rFonts w:hint="eastAsia"/>
                <w:sz w:val="24"/>
                <w:szCs w:val="24"/>
                <w:lang w:val="en-US" w:eastAsia="zh-CN"/>
              </w:rPr>
              <w:t>北京大道兴业投资—黄华艳，北京汉威资产—张方海，人保资产—吕晶，幸福人寿保险—李训勇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iCs/>
                <w:sz w:val="24"/>
                <w:highlight w:val="none"/>
              </w:rPr>
            </w:pPr>
            <w:r>
              <w:rPr>
                <w:rFonts w:hint="eastAsia"/>
                <w:bCs/>
                <w:iCs/>
                <w:sz w:val="24"/>
                <w:highlight w:val="none"/>
                <w:lang w:val="en-US" w:eastAsia="zh-CN"/>
              </w:rPr>
              <w:t>接待</w:t>
            </w:r>
            <w:r>
              <w:rPr>
                <w:bCs/>
                <w:iCs/>
                <w:sz w:val="24"/>
                <w:highlight w:val="none"/>
              </w:rPr>
              <w:t>时间</w:t>
            </w:r>
          </w:p>
        </w:tc>
        <w:tc>
          <w:tcPr>
            <w:tcW w:w="7322" w:type="dxa"/>
            <w:tcBorders>
              <w:top w:val="single" w:color="auto" w:sz="4" w:space="0"/>
              <w:left w:val="single" w:color="auto" w:sz="4" w:space="0"/>
              <w:bottom w:val="single" w:color="auto" w:sz="4" w:space="0"/>
              <w:right w:val="single" w:color="auto" w:sz="4" w:space="0"/>
            </w:tcBorders>
            <w:vAlign w:val="top"/>
          </w:tcPr>
          <w:p>
            <w:pPr>
              <w:spacing w:line="360" w:lineRule="auto"/>
              <w:rPr>
                <w:bCs/>
                <w:iCs/>
                <w:sz w:val="24"/>
                <w:highlight w:val="none"/>
              </w:rPr>
            </w:pPr>
            <w:r>
              <w:rPr>
                <w:bCs/>
                <w:iCs/>
                <w:sz w:val="24"/>
                <w:highlight w:val="none"/>
              </w:rPr>
              <w:t>201</w:t>
            </w:r>
            <w:r>
              <w:rPr>
                <w:rFonts w:hint="eastAsia"/>
                <w:bCs/>
                <w:iCs/>
                <w:sz w:val="24"/>
                <w:highlight w:val="none"/>
                <w:lang w:val="en-US" w:eastAsia="zh-CN"/>
              </w:rPr>
              <w:t>9</w:t>
            </w:r>
            <w:r>
              <w:rPr>
                <w:bCs/>
                <w:iCs/>
                <w:sz w:val="24"/>
                <w:highlight w:val="none"/>
              </w:rPr>
              <w:t>年</w:t>
            </w:r>
            <w:r>
              <w:rPr>
                <w:rFonts w:hint="eastAsia"/>
                <w:bCs/>
                <w:iCs/>
                <w:sz w:val="24"/>
                <w:highlight w:val="none"/>
                <w:lang w:val="en-US" w:eastAsia="zh-CN"/>
              </w:rPr>
              <w:t>4</w:t>
            </w:r>
            <w:r>
              <w:rPr>
                <w:bCs/>
                <w:iCs/>
                <w:sz w:val="24"/>
                <w:highlight w:val="none"/>
              </w:rPr>
              <w:t>月</w:t>
            </w:r>
            <w:r>
              <w:rPr>
                <w:rFonts w:hint="eastAsia"/>
                <w:bCs/>
                <w:iCs/>
                <w:sz w:val="24"/>
                <w:highlight w:val="none"/>
                <w:lang w:val="en-US" w:eastAsia="zh-CN"/>
              </w:rPr>
              <w:t>30</w:t>
            </w:r>
            <w:r>
              <w:rPr>
                <w:bCs/>
                <w:iCs/>
                <w:sz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iCs/>
                <w:sz w:val="24"/>
                <w:highlight w:val="none"/>
              </w:rPr>
            </w:pPr>
            <w:r>
              <w:rPr>
                <w:rFonts w:hint="eastAsia"/>
                <w:bCs/>
                <w:iCs/>
                <w:sz w:val="24"/>
                <w:highlight w:val="none"/>
                <w:lang w:val="en-US" w:eastAsia="zh-CN"/>
              </w:rPr>
              <w:t>接待</w:t>
            </w:r>
            <w:r>
              <w:rPr>
                <w:bCs/>
                <w:iCs/>
                <w:sz w:val="24"/>
                <w:highlight w:val="none"/>
              </w:rPr>
              <w:t>地点</w:t>
            </w:r>
          </w:p>
        </w:tc>
        <w:tc>
          <w:tcPr>
            <w:tcW w:w="7322" w:type="dxa"/>
            <w:tcBorders>
              <w:top w:val="single" w:color="auto" w:sz="4" w:space="0"/>
              <w:left w:val="single" w:color="auto" w:sz="4" w:space="0"/>
              <w:bottom w:val="single" w:color="auto" w:sz="4" w:space="0"/>
              <w:right w:val="single" w:color="auto" w:sz="4" w:space="0"/>
            </w:tcBorders>
            <w:vAlign w:val="top"/>
          </w:tcPr>
          <w:p>
            <w:pPr>
              <w:spacing w:line="360" w:lineRule="auto"/>
              <w:rPr>
                <w:bCs/>
                <w:iCs/>
                <w:sz w:val="24"/>
                <w:highlight w:val="none"/>
              </w:rPr>
            </w:pPr>
            <w:r>
              <w:rPr>
                <w:bCs/>
                <w:iCs/>
                <w:sz w:val="24"/>
                <w:highlight w:val="none"/>
              </w:rPr>
              <w:t>公司</w:t>
            </w:r>
            <w:r>
              <w:rPr>
                <w:rFonts w:hint="eastAsia"/>
                <w:bCs/>
                <w:iCs/>
                <w:sz w:val="24"/>
                <w:highlight w:val="none"/>
                <w:lang w:val="en-US" w:eastAsia="zh-CN"/>
              </w:rPr>
              <w:t>总部102</w:t>
            </w:r>
            <w:r>
              <w:rPr>
                <w:bCs/>
                <w:iCs/>
                <w:sz w:val="24"/>
                <w:highlight w:val="none"/>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iCs/>
                <w:sz w:val="24"/>
                <w:highlight w:val="none"/>
              </w:rPr>
            </w:pPr>
            <w:r>
              <w:rPr>
                <w:bCs/>
                <w:iCs/>
                <w:sz w:val="24"/>
                <w:highlight w:val="none"/>
              </w:rPr>
              <w:t>上市公司</w:t>
            </w:r>
          </w:p>
          <w:p>
            <w:pPr>
              <w:spacing w:line="360" w:lineRule="auto"/>
              <w:jc w:val="center"/>
              <w:rPr>
                <w:bCs/>
                <w:iCs/>
                <w:sz w:val="24"/>
                <w:highlight w:val="none"/>
              </w:rPr>
            </w:pPr>
            <w:r>
              <w:rPr>
                <w:bCs/>
                <w:iCs/>
                <w:sz w:val="24"/>
                <w:highlight w:val="none"/>
              </w:rPr>
              <w:t>接待人员姓名</w:t>
            </w:r>
          </w:p>
        </w:tc>
        <w:tc>
          <w:tcPr>
            <w:tcW w:w="7322" w:type="dxa"/>
            <w:tcBorders>
              <w:top w:val="single" w:color="auto" w:sz="4" w:space="0"/>
              <w:left w:val="single" w:color="auto" w:sz="4" w:space="0"/>
              <w:bottom w:val="single" w:color="auto" w:sz="4" w:space="0"/>
              <w:right w:val="single" w:color="auto" w:sz="4" w:space="0"/>
            </w:tcBorders>
            <w:vAlign w:val="top"/>
          </w:tcPr>
          <w:p>
            <w:pPr>
              <w:spacing w:line="360" w:lineRule="auto"/>
              <w:rPr>
                <w:bCs/>
                <w:iCs/>
                <w:sz w:val="24"/>
                <w:highlight w:val="none"/>
              </w:rPr>
            </w:pPr>
            <w:r>
              <w:rPr>
                <w:rFonts w:hint="eastAsia"/>
                <w:bCs/>
                <w:iCs/>
                <w:sz w:val="24"/>
                <w:highlight w:val="none"/>
                <w:lang w:val="en-US" w:eastAsia="zh-CN"/>
              </w:rPr>
              <w:t xml:space="preserve">李军风-董事长兼董秘，张晋华-原董事会秘书，陈哲-副总裁兼战略发展部总经理，刘劲松-计划财务部总经理，习志鹏-证券事务经理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iCs/>
                <w:sz w:val="24"/>
                <w:highlight w:val="none"/>
              </w:rPr>
            </w:pPr>
            <w:r>
              <w:rPr>
                <w:bCs/>
                <w:iCs/>
                <w:sz w:val="24"/>
                <w:highlight w:val="none"/>
              </w:rPr>
              <w:t>投资者关系活动主要内容介绍</w:t>
            </w:r>
          </w:p>
        </w:tc>
        <w:tc>
          <w:tcPr>
            <w:tcW w:w="7322" w:type="dxa"/>
            <w:tcBorders>
              <w:top w:val="single" w:color="auto" w:sz="4" w:space="0"/>
              <w:left w:val="single" w:color="auto" w:sz="4" w:space="0"/>
              <w:bottom w:val="single" w:color="auto" w:sz="4" w:space="0"/>
              <w:right w:val="single" w:color="auto" w:sz="4" w:space="0"/>
            </w:tcBorders>
            <w:vAlign w:val="top"/>
          </w:tcPr>
          <w:p>
            <w:pPr>
              <w:spacing w:line="360" w:lineRule="auto"/>
              <w:ind w:firstLine="482" w:firstLineChars="200"/>
              <w:rPr>
                <w:b/>
                <w:bCs/>
                <w:kern w:val="0"/>
                <w:sz w:val="24"/>
                <w:highlight w:val="none"/>
              </w:rPr>
            </w:pPr>
            <w:r>
              <w:rPr>
                <w:b/>
                <w:bCs/>
                <w:kern w:val="0"/>
                <w:sz w:val="24"/>
                <w:highlight w:val="none"/>
              </w:rPr>
              <w:t>1、介绍公司背景</w:t>
            </w:r>
            <w:r>
              <w:rPr>
                <w:rFonts w:hint="eastAsia"/>
                <w:b/>
                <w:bCs/>
                <w:kern w:val="0"/>
                <w:sz w:val="24"/>
                <w:highlight w:val="none"/>
                <w:lang w:val="en-US" w:eastAsia="zh-CN"/>
              </w:rPr>
              <w:t>及主要</w:t>
            </w:r>
            <w:r>
              <w:rPr>
                <w:b/>
                <w:bCs/>
                <w:kern w:val="0"/>
                <w:sz w:val="24"/>
                <w:highlight w:val="none"/>
              </w:rPr>
              <w:t>业务领域</w:t>
            </w:r>
          </w:p>
          <w:p>
            <w:pPr>
              <w:spacing w:line="360" w:lineRule="auto"/>
              <w:ind w:firstLine="480" w:firstLineChars="200"/>
              <w:rPr>
                <w:sz w:val="24"/>
                <w:highlight w:val="none"/>
              </w:rPr>
            </w:pPr>
            <w:r>
              <w:rPr>
                <w:rFonts w:hint="eastAsia"/>
                <w:kern w:val="0"/>
                <w:sz w:val="24"/>
                <w:highlight w:val="none"/>
                <w:lang w:val="zh-CN"/>
              </w:rPr>
              <w:t>公司自成立以来，一直以先进金属材料及制品的研发、生产和销售为主业，是国内金属新材料行业的领军企业之一，也是国家高新技术企业</w:t>
            </w:r>
            <w:r>
              <w:rPr>
                <w:kern w:val="0"/>
                <w:sz w:val="24"/>
                <w:highlight w:val="none"/>
              </w:rPr>
              <w:t>。</w:t>
            </w:r>
            <w:r>
              <w:rPr>
                <w:rFonts w:hint="eastAsia"/>
                <w:kern w:val="0"/>
                <w:sz w:val="24"/>
                <w:highlight w:val="none"/>
              </w:rPr>
              <w:t>公司切实推进产业聚焦与取舍，明确在“十三五”期间以“先进功能材料及器件、特种粉末冶金材料及制品、高品质特钢及焊接材料、环保与高端科技服务业”四大板块作为核心业务板块</w:t>
            </w:r>
            <w:r>
              <w:rPr>
                <w:rFonts w:hint="eastAsia"/>
                <w:kern w:val="0"/>
                <w:sz w:val="24"/>
                <w:highlight w:val="none"/>
                <w:lang w:eastAsia="zh-CN"/>
              </w:rPr>
              <w:t>。</w:t>
            </w:r>
            <w:r>
              <w:rPr>
                <w:rFonts w:hint="eastAsia"/>
                <w:kern w:val="0"/>
                <w:sz w:val="24"/>
                <w:highlight w:val="none"/>
                <w:lang w:val="en-US" w:eastAsia="zh-CN"/>
              </w:rPr>
              <w:t>其中</w:t>
            </w:r>
            <w:r>
              <w:rPr>
                <w:rFonts w:hint="eastAsia"/>
                <w:kern w:val="0"/>
                <w:sz w:val="24"/>
                <w:highlight w:val="none"/>
                <w:lang w:eastAsia="zh-CN"/>
              </w:rPr>
              <w:t>“先进功能材料及器件”包含非晶带材、纳米晶材料、稀土永磁材料、精密软磁合金</w:t>
            </w:r>
            <w:r>
              <w:rPr>
                <w:rFonts w:hint="eastAsia"/>
                <w:kern w:val="0"/>
                <w:sz w:val="24"/>
                <w:highlight w:val="none"/>
                <w:lang w:val="en-US" w:eastAsia="zh-CN"/>
              </w:rPr>
              <w:t>等业务，对应的主要控股公司为安泰南瑞非晶科技有限责任公司（公司持股51%）、安泰非晶制品分公司、上海安泰至高非晶金属有限公司（公司持股60%）、安泰功能材料事业部</w:t>
            </w:r>
            <w:r>
              <w:rPr>
                <w:rFonts w:hint="eastAsia"/>
                <w:kern w:val="0"/>
                <w:sz w:val="24"/>
                <w:highlight w:val="none"/>
                <w:lang w:eastAsia="zh-CN"/>
              </w:rPr>
              <w:t>；“特种粉末冶金材料及制品”包含难熔材料、超硬材料、注射成形产品、雾化制粉</w:t>
            </w:r>
            <w:r>
              <w:rPr>
                <w:rFonts w:hint="eastAsia"/>
                <w:kern w:val="0"/>
                <w:sz w:val="24"/>
                <w:highlight w:val="none"/>
                <w:lang w:val="en-US" w:eastAsia="zh-CN"/>
              </w:rPr>
              <w:t>等业务，对应的主要控股公司分别为安泰天龙钨钼科技有限公司（以下简称“安泰天龙”，公司持股100%）和北京安泰中科金属材料有限公司（公司持股51%）、北京安泰钢研超硬材料制品有限公司（以下简称“安泰超硬”，公司持股95%）、深圳市安泰海美格金属有限公司（公司持股55.58%）、安泰(霸州)特种粉业有限公司（以下简称“安泰霸州特粉”，公司持股50%）</w:t>
            </w:r>
            <w:r>
              <w:rPr>
                <w:rFonts w:hint="eastAsia"/>
                <w:kern w:val="0"/>
                <w:sz w:val="24"/>
                <w:highlight w:val="none"/>
                <w:lang w:eastAsia="zh-CN"/>
              </w:rPr>
              <w:t>；“高品质特钢及焊接材料”包含高速工具钢、高端模具钢、焊接材料</w:t>
            </w:r>
            <w:r>
              <w:rPr>
                <w:rFonts w:hint="eastAsia"/>
                <w:kern w:val="0"/>
                <w:sz w:val="24"/>
                <w:highlight w:val="none"/>
                <w:lang w:val="en-US" w:eastAsia="zh-CN"/>
              </w:rPr>
              <w:t>等业务，对应的主要控股公司为河冶科技股份有限公司（公司持股57.35%）、天津市三英焊业有限责任公司（以下简称“天津三英”，公司持股50.59%）</w:t>
            </w:r>
            <w:r>
              <w:rPr>
                <w:rFonts w:hint="eastAsia"/>
                <w:kern w:val="0"/>
                <w:sz w:val="24"/>
                <w:highlight w:val="none"/>
                <w:lang w:eastAsia="zh-CN"/>
              </w:rPr>
              <w:t>；“环保与高端科技服务业”包含环保装备与工程、孵化器厂房运营、投资等</w:t>
            </w:r>
            <w:r>
              <w:rPr>
                <w:rFonts w:hint="eastAsia"/>
                <w:kern w:val="0"/>
                <w:sz w:val="24"/>
                <w:highlight w:val="none"/>
                <w:lang w:val="en-US" w:eastAsia="zh-CN"/>
              </w:rPr>
              <w:t>业务，对应的主要控股公司为安泰环境工程技术有限公司（以下简称“安泰环境”，公司持股60%）、安泰创业投资(深圳)有限公司_（公司持股100%）</w:t>
            </w:r>
            <w:r>
              <w:rPr>
                <w:rFonts w:hint="eastAsia"/>
                <w:kern w:val="0"/>
                <w:sz w:val="24"/>
                <w:highlight w:val="none"/>
                <w:lang w:eastAsia="zh-CN"/>
              </w:rPr>
              <w:t>。</w:t>
            </w:r>
            <w:r>
              <w:rPr>
                <w:rFonts w:hint="eastAsia"/>
                <w:kern w:val="0"/>
                <w:sz w:val="24"/>
                <w:highlight w:val="none"/>
                <w:lang w:val="zh-CN"/>
              </w:rPr>
              <w:t>公司产品广泛应用于航空航天、核电、生物医疗、信息技术产业、节能与新能源汽车、船舶、轨道交通等领域，重点服务于战略性新兴产业。新材料作为国民经济的先导产业，被国家列为重点发展的10大产业领域之一。新材料产业在高端突破、进口替代、中低端转型升级方面孕育着巨大市场需求，公司未来面临重要发展机遇。</w:t>
            </w:r>
          </w:p>
          <w:p>
            <w:pPr>
              <w:spacing w:line="360" w:lineRule="auto"/>
              <w:ind w:firstLine="480" w:firstLineChars="200"/>
              <w:jc w:val="both"/>
              <w:rPr>
                <w:rFonts w:hint="eastAsia"/>
                <w:sz w:val="24"/>
                <w:highlight w:val="none"/>
                <w:lang w:val="en-US" w:eastAsia="zh-CN"/>
              </w:rPr>
            </w:pPr>
            <w:r>
              <w:rPr>
                <w:rFonts w:hint="eastAsia"/>
                <w:sz w:val="24"/>
                <w:highlight w:val="none"/>
                <w:lang w:val="en-US" w:eastAsia="zh-CN"/>
              </w:rPr>
              <w:t>2018年，是公司产业调整转型的攻坚之年，也是公司面临巨大困难和承受巨大压力的一年。公司将“择优扶强”和“处僵治困”作为核心任务，在优化资源配置、全力扶持优势产业发展的同时，强力推进困难业务扭亏脱困，坚决止住“出血点”，加快完成结构调整和实现新旧增长动能转换。同时，对部分扭亏无望的业务进行调整和剥离，导致公司业绩出现了较大亏损，但在持续深化改革、加快产业调整、强化技术创新等方面取得了积极进展，新签订合同、营业收入均实现历史新高，主导产品市场占有率持续扩大，业务基本面保持稳定向好。</w:t>
            </w:r>
          </w:p>
          <w:p>
            <w:pPr>
              <w:spacing w:line="360" w:lineRule="auto"/>
              <w:ind w:firstLine="480" w:firstLineChars="200"/>
              <w:rPr>
                <w:rFonts w:hint="eastAsia"/>
                <w:sz w:val="24"/>
                <w:highlight w:val="none"/>
              </w:rPr>
            </w:pPr>
            <w:r>
              <w:rPr>
                <w:rFonts w:hint="eastAsia"/>
                <w:sz w:val="24"/>
                <w:highlight w:val="none"/>
                <w:lang w:val="en-US" w:eastAsia="zh-CN"/>
              </w:rPr>
              <w:t>2</w:t>
            </w:r>
            <w:r>
              <w:rPr>
                <w:rFonts w:hint="eastAsia"/>
                <w:sz w:val="24"/>
                <w:highlight w:val="none"/>
              </w:rPr>
              <w:t>019年，公司</w:t>
            </w:r>
            <w:r>
              <w:rPr>
                <w:rFonts w:hint="eastAsia"/>
                <w:sz w:val="24"/>
                <w:highlight w:val="none"/>
                <w:lang w:val="en-US" w:eastAsia="zh-CN"/>
              </w:rPr>
              <w:t>将</w:t>
            </w:r>
            <w:r>
              <w:rPr>
                <w:rFonts w:hint="eastAsia"/>
                <w:sz w:val="24"/>
                <w:highlight w:val="none"/>
              </w:rPr>
              <w:t>继续通过各项结构调整，坚持取舍，合理布局，配套激励政策，实现“增量共享，共同发展”的目标。将对重点企业、重点领域落实择优扶强，在人才引进、工资总额、双对标薪酬、信贷政策、投资需求等方面配置优势资源、配套政策支持；培育增量业务，积极寻找内外部机会，围绕增强核心竞争力，在做优做强上下大功夫。同时，还将在过去处僵治困基础上，坚持顶层设计，坚持取舍，加快低效无效资产处置，夯实资产质量，提高资产周转效率。</w:t>
            </w:r>
          </w:p>
          <w:p>
            <w:pPr>
              <w:spacing w:line="360" w:lineRule="auto"/>
              <w:ind w:firstLine="482" w:firstLineChars="200"/>
              <w:rPr>
                <w:rFonts w:hint="eastAsia"/>
                <w:b/>
                <w:bCs/>
                <w:sz w:val="24"/>
                <w:szCs w:val="28"/>
                <w:highlight w:val="none"/>
                <w:lang w:val="en-US" w:eastAsia="zh-CN"/>
              </w:rPr>
            </w:pPr>
            <w:r>
              <w:rPr>
                <w:rFonts w:hint="eastAsia"/>
                <w:b/>
                <w:bCs/>
                <w:sz w:val="24"/>
                <w:szCs w:val="28"/>
                <w:highlight w:val="none"/>
                <w:lang w:val="en-US" w:eastAsia="zh-CN"/>
              </w:rPr>
              <w:t>2、安泰环境相关业务情况</w:t>
            </w:r>
          </w:p>
          <w:p>
            <w:pPr>
              <w:spacing w:line="360" w:lineRule="auto"/>
              <w:ind w:firstLine="480" w:firstLineChars="200"/>
              <w:rPr>
                <w:rFonts w:hint="eastAsia"/>
                <w:sz w:val="24"/>
                <w:szCs w:val="28"/>
                <w:highlight w:val="none"/>
                <w:lang w:val="en-US" w:eastAsia="zh-CN"/>
              </w:rPr>
            </w:pPr>
            <w:r>
              <w:rPr>
                <w:rFonts w:hint="eastAsia"/>
                <w:sz w:val="24"/>
                <w:szCs w:val="28"/>
                <w:highlight w:val="none"/>
                <w:lang w:val="en-US" w:eastAsia="zh-CN"/>
              </w:rPr>
              <w:t>公司成立于2015年，由安泰科技股份有限公司整合原粉末冶金事业部过滤材料分公司及工程技术事业部，同时全资收购宁波化工研究设计院有限公司组建而成，并作为安泰科技混合所有制改革试点单位，实现员工持股。</w:t>
            </w:r>
          </w:p>
          <w:p>
            <w:pPr>
              <w:spacing w:line="360" w:lineRule="auto"/>
              <w:ind w:firstLine="480" w:firstLineChars="200"/>
              <w:rPr>
                <w:rFonts w:hint="eastAsia"/>
                <w:sz w:val="24"/>
                <w:szCs w:val="28"/>
                <w:highlight w:val="none"/>
                <w:lang w:val="en-US" w:eastAsia="zh-CN"/>
              </w:rPr>
            </w:pPr>
            <w:r>
              <w:rPr>
                <w:rFonts w:hint="eastAsia"/>
                <w:sz w:val="24"/>
                <w:szCs w:val="28"/>
                <w:highlight w:val="none"/>
                <w:lang w:val="en-US" w:eastAsia="zh-CN"/>
              </w:rPr>
              <w:t>公司以环境控制保护与清洁能源利用为宗旨，服务于包括传统能源及新能源领域的工业过滤净化工程、能源清洁化利用工程和氢能源与燃料电池等核心业务。公司从事先进多孔材料及元器件研发生产，以及多孔材料在气固液非均相系统中过滤、分离、浓缩和聚结等应用技术开发、成套装置设计制造；开展煤炭清洁综合利用、环境控制与治理、氢能利用等工程设计及总承包业务。</w:t>
            </w:r>
          </w:p>
          <w:p>
            <w:pPr>
              <w:spacing w:line="360" w:lineRule="auto"/>
              <w:ind w:firstLine="480" w:firstLineChars="200"/>
              <w:rPr>
                <w:rFonts w:hint="eastAsia"/>
                <w:sz w:val="24"/>
                <w:szCs w:val="28"/>
                <w:highlight w:val="none"/>
                <w:lang w:val="en-US" w:eastAsia="zh-CN"/>
              </w:rPr>
            </w:pPr>
            <w:r>
              <w:rPr>
                <w:rFonts w:hint="eastAsia"/>
                <w:sz w:val="24"/>
                <w:szCs w:val="28"/>
                <w:highlight w:val="none"/>
                <w:lang w:val="en-US" w:eastAsia="zh-CN"/>
              </w:rPr>
              <w:t>公司主要围绕能源清洁化利用、清洁能源技术，具备从产品研发制造、装置配套、系统集成、工程设计及总承包能力的环境控制综合服务商，帮助工业领域实现过程清洁化、排放减量化、无害化、以及资源化再利用。</w:t>
            </w:r>
          </w:p>
          <w:p>
            <w:pPr>
              <w:spacing w:line="360" w:lineRule="auto"/>
              <w:ind w:firstLine="480" w:firstLineChars="200"/>
              <w:rPr>
                <w:rFonts w:hint="eastAsia"/>
                <w:sz w:val="24"/>
                <w:szCs w:val="28"/>
                <w:highlight w:val="none"/>
                <w:lang w:val="en-US" w:eastAsia="zh-CN"/>
              </w:rPr>
            </w:pPr>
            <w:r>
              <w:rPr>
                <w:rFonts w:hint="eastAsia"/>
                <w:sz w:val="24"/>
                <w:szCs w:val="28"/>
                <w:highlight w:val="none"/>
                <w:lang w:val="en-US" w:eastAsia="zh-CN"/>
              </w:rPr>
              <w:t>安泰环境拥有一支氢能源与燃料电池开发利用相关的核心研发团队，具备氢能源“制取-储运-加注-应用”的相关工艺、材料及核心部件、系统装备的研发制造能力，具有在燃料电池关键材料及其制备技术的研发能力和产业转化经验，部分材料比如金属基的气体扩散层已经量产，在某些型号的燃料电池电堆、水电解制氢装置上有较好的应用。高比功率燃料电池电堆用金属双极板的开发也处于国内先进行列中。</w:t>
            </w:r>
          </w:p>
          <w:p>
            <w:pPr>
              <w:spacing w:line="360" w:lineRule="auto"/>
              <w:ind w:firstLine="480" w:firstLineChars="200"/>
              <w:rPr>
                <w:rFonts w:hint="eastAsia"/>
                <w:sz w:val="24"/>
                <w:szCs w:val="28"/>
                <w:highlight w:val="none"/>
                <w:lang w:val="en-US" w:eastAsia="zh-CN"/>
              </w:rPr>
            </w:pPr>
            <w:r>
              <w:rPr>
                <w:rFonts w:hint="eastAsia"/>
                <w:sz w:val="24"/>
                <w:szCs w:val="28"/>
                <w:highlight w:val="none"/>
                <w:lang w:val="en-US" w:eastAsia="zh-CN"/>
              </w:rPr>
              <w:t>在制氢-加氢和氢气储运工程方面，安泰环境下属全资子公司具有设计和工程专业资质、丰富的项目设计和运维经验，可提供安全可靠、技术一流的制氢加氢关键设备、系统工程服务和运维服务支持等成套系统解决方案。</w:t>
            </w:r>
          </w:p>
          <w:p>
            <w:pPr>
              <w:spacing w:line="360" w:lineRule="auto"/>
              <w:ind w:firstLine="480" w:firstLineChars="200"/>
              <w:rPr>
                <w:rFonts w:hint="eastAsia"/>
                <w:sz w:val="24"/>
                <w:szCs w:val="28"/>
                <w:highlight w:val="none"/>
                <w:lang w:val="en-US" w:eastAsia="zh-CN"/>
              </w:rPr>
            </w:pPr>
            <w:r>
              <w:rPr>
                <w:rFonts w:hint="eastAsia"/>
                <w:sz w:val="24"/>
                <w:szCs w:val="28"/>
                <w:highlight w:val="none"/>
                <w:lang w:val="en-US" w:eastAsia="zh-CN"/>
              </w:rPr>
              <w:t>2016年中国钢研作为主要牵头单位之一，和其他单位共同承担国家科技部新能源汽车重点专项，安泰环境作为中国钢研集团该课题的具体实施单位，目前各项研发工作正按计划推进，有望逐步推出相关转化成果，为行业发展输出先进可靠的技术和产品。</w:t>
            </w:r>
          </w:p>
          <w:p>
            <w:pPr>
              <w:spacing w:line="360" w:lineRule="auto"/>
              <w:ind w:firstLine="480" w:firstLineChars="200"/>
              <w:rPr>
                <w:rFonts w:hint="eastAsia"/>
                <w:sz w:val="24"/>
                <w:szCs w:val="28"/>
                <w:highlight w:val="none"/>
                <w:lang w:val="en-US" w:eastAsia="zh-CN"/>
              </w:rPr>
            </w:pPr>
            <w:r>
              <w:rPr>
                <w:rFonts w:hint="eastAsia"/>
                <w:sz w:val="24"/>
                <w:szCs w:val="28"/>
                <w:highlight w:val="none"/>
                <w:lang w:val="en-US" w:eastAsia="zh-CN"/>
              </w:rPr>
              <w:t>2018年“中国氢能源与燃料电池产业创新战略联盟”成立，中国钢研集团是发起核心单位，也是联盟副理事长、联盟常务副秘书长单位。中国钢研科技集团有六位国内顶尖的院士、专家出任中国氢能联盟领导及专家委员，直接参与国家氢能和燃料电池产业战略顶层设计。安泰环境氢能及燃料电池专业团队作为主力军参与到“氢能源与燃料电池行业报告”、“国家氢能白皮书”等报告编制工作中，并正参与一些重点区域、省市的氢能生态系统建设和产业发展规划。</w:t>
            </w:r>
          </w:p>
          <w:p>
            <w:pPr>
              <w:spacing w:line="360" w:lineRule="auto"/>
              <w:ind w:firstLine="480" w:firstLineChars="200"/>
              <w:rPr>
                <w:rFonts w:hint="eastAsia"/>
                <w:sz w:val="24"/>
                <w:szCs w:val="28"/>
                <w:highlight w:val="none"/>
                <w:lang w:val="en-US" w:eastAsia="zh-CN"/>
              </w:rPr>
            </w:pPr>
            <w:r>
              <w:rPr>
                <w:rFonts w:hint="eastAsia"/>
                <w:sz w:val="24"/>
                <w:szCs w:val="28"/>
                <w:highlight w:val="none"/>
                <w:lang w:val="en-US" w:eastAsia="zh-CN"/>
              </w:rPr>
              <w:t>安泰环境是国内首家燃料电池关键材料量产企业，对标国际知名企业，国内领先，在石化、煤化、核电等能源领域成功实现金属过滤材料及装置国产化替代，某些产品市场占有率达90%。公司开发的金属膜净化元件和组件曾荣获“国家发明一等奖”。承担科技部新能源汽车重大专项子课题“大功率燃料电池电堆技术研究与开发”，并参与北京市科委关于北京市燃料电池产业布局和氢能利用战略示范和远景规划，负责北京市永丰加氢站改造示范项目、并参与设计建造位于张家口氢能利用示范项目。安泰环境主要提供燃料电池的关键材料气体扩散层、金属双极板；其中多孔钛气体扩散层产品已稳定供应全球知名综合能源供应商普拉格能源公司，钛双极板2018年已实现量产，将大幅降低燃料电池成本。</w:t>
            </w:r>
          </w:p>
          <w:p>
            <w:pPr>
              <w:spacing w:line="360" w:lineRule="auto"/>
              <w:ind w:firstLine="480" w:firstLineChars="200"/>
              <w:rPr>
                <w:rFonts w:hint="eastAsia"/>
                <w:sz w:val="24"/>
                <w:szCs w:val="28"/>
                <w:highlight w:val="none"/>
                <w:lang w:val="en-US" w:eastAsia="zh-CN"/>
              </w:rPr>
            </w:pPr>
            <w:r>
              <w:rPr>
                <w:rFonts w:hint="eastAsia"/>
                <w:sz w:val="24"/>
                <w:szCs w:val="28"/>
                <w:highlight w:val="none"/>
                <w:lang w:val="en-US" w:eastAsia="zh-CN"/>
              </w:rPr>
              <w:t>2018年度实现营业收入4.06亿，净利润3,725万。</w:t>
            </w:r>
          </w:p>
          <w:p>
            <w:pPr>
              <w:spacing w:line="360" w:lineRule="auto"/>
              <w:ind w:firstLine="482" w:firstLineChars="200"/>
              <w:rPr>
                <w:rFonts w:hint="eastAsia" w:eastAsia="宋体"/>
                <w:b/>
                <w:bCs/>
                <w:kern w:val="0"/>
                <w:sz w:val="24"/>
                <w:highlight w:val="none"/>
                <w:lang w:val="en-US" w:eastAsia="zh-CN"/>
              </w:rPr>
            </w:pPr>
            <w:r>
              <w:rPr>
                <w:rFonts w:hint="eastAsia"/>
                <w:b/>
                <w:bCs/>
                <w:kern w:val="0"/>
                <w:sz w:val="24"/>
                <w:highlight w:val="none"/>
                <w:lang w:val="en-US" w:eastAsia="zh-CN"/>
              </w:rPr>
              <w:t>3、安泰天龙业务情况</w:t>
            </w:r>
          </w:p>
          <w:p>
            <w:pPr>
              <w:spacing w:line="360" w:lineRule="auto"/>
              <w:ind w:firstLine="480"/>
              <w:rPr>
                <w:rFonts w:hint="eastAsia"/>
                <w:kern w:val="0"/>
                <w:sz w:val="24"/>
                <w:highlight w:val="none"/>
              </w:rPr>
            </w:pPr>
            <w:r>
              <w:rPr>
                <w:rFonts w:hint="eastAsia"/>
                <w:kern w:val="0"/>
                <w:sz w:val="24"/>
                <w:highlight w:val="none"/>
                <w:lang w:val="en-US" w:eastAsia="zh-CN"/>
              </w:rPr>
              <w:t>2015年</w:t>
            </w:r>
            <w:r>
              <w:rPr>
                <w:rFonts w:hint="eastAsia"/>
                <w:kern w:val="0"/>
                <w:sz w:val="24"/>
                <w:highlight w:val="none"/>
              </w:rPr>
              <w:t>公司以总投资10.36亿元收购钨钼行业重要企业北京天龙钨钼科技股份有限公司的100%股权，同时将公司难熔材料业务资产注入该企业，并引入市场化经营机制和团队，通过创新模式的探索，突破现有的体制机制，从而激发企业活力。在该项目实施的同时，通过推动实施“管理层与核心骨干参与认购公司非公开发行股票的股权投资计划”，在完善考核激励机制、稳定核心团队方面起到了重要作用。该项目改革探索的成功，为公司其他主营业务板块利用自身优势、整合行业资源、实现转型发展提供经验借鉴。</w:t>
            </w:r>
          </w:p>
          <w:p>
            <w:pPr>
              <w:spacing w:line="360" w:lineRule="auto"/>
              <w:ind w:firstLine="480" w:firstLineChars="200"/>
              <w:rPr>
                <w:rFonts w:hint="eastAsia"/>
                <w:kern w:val="0"/>
                <w:sz w:val="24"/>
                <w:highlight w:val="none"/>
                <w:lang w:val="en-US" w:eastAsia="zh-CN"/>
              </w:rPr>
            </w:pPr>
            <w:r>
              <w:rPr>
                <w:rFonts w:hint="eastAsia"/>
                <w:kern w:val="0"/>
                <w:sz w:val="24"/>
                <w:highlight w:val="none"/>
                <w:lang w:val="en-US" w:eastAsia="zh-CN"/>
              </w:rPr>
              <w:t>安泰天龙是安泰科技中专业从事难熔金属材料研究、制造和服务的业务单元，承接了中国钢研科技集团在这一领域六十多年不懈耕耘和北京天龙近二十年快速发展所积累的成果，是央企发挥自身优势、整合社会资源、创新发展机制的典范，为中国钨钼材料精深加工产业避免重复建设、杜绝恶性竞争、形成发展合力、走向国际高端做出了卓越贡献。</w:t>
            </w:r>
          </w:p>
          <w:p>
            <w:pPr>
              <w:spacing w:line="360" w:lineRule="auto"/>
              <w:ind w:firstLine="480" w:firstLineChars="200"/>
              <w:rPr>
                <w:rFonts w:hint="eastAsia"/>
                <w:kern w:val="0"/>
                <w:sz w:val="24"/>
                <w:highlight w:val="none"/>
                <w:lang w:val="en-US" w:eastAsia="zh-CN"/>
              </w:rPr>
            </w:pPr>
            <w:r>
              <w:rPr>
                <w:rFonts w:hint="eastAsia"/>
                <w:kern w:val="0"/>
                <w:sz w:val="24"/>
                <w:highlight w:val="none"/>
                <w:lang w:val="en-US" w:eastAsia="zh-CN"/>
              </w:rPr>
              <w:t>安泰天龙作为国内钨钼材料精深加工领域的领军企业，产品服务</w:t>
            </w:r>
          </w:p>
          <w:p>
            <w:pPr>
              <w:spacing w:line="360" w:lineRule="auto"/>
              <w:rPr>
                <w:rFonts w:hint="eastAsia"/>
                <w:kern w:val="0"/>
                <w:sz w:val="24"/>
                <w:highlight w:val="none"/>
                <w:lang w:val="en-US" w:eastAsia="zh-CN"/>
              </w:rPr>
            </w:pPr>
            <w:r>
              <w:rPr>
                <w:rFonts w:hint="eastAsia"/>
                <w:kern w:val="0"/>
                <w:sz w:val="24"/>
                <w:highlight w:val="none"/>
                <w:lang w:val="en-US" w:eastAsia="zh-CN"/>
              </w:rPr>
              <w:t>国内和全球高端市场和大科技工程。产品主要应用于航空航天、军工、核电、太阳能、半导体、电力电子、高端医疗装备、新能源汽车等领域。</w:t>
            </w:r>
          </w:p>
          <w:p>
            <w:pPr>
              <w:spacing w:line="360" w:lineRule="auto"/>
              <w:ind w:firstLine="480" w:firstLineChars="200"/>
              <w:rPr>
                <w:rFonts w:hint="eastAsia"/>
                <w:kern w:val="0"/>
                <w:sz w:val="24"/>
                <w:highlight w:val="none"/>
                <w:lang w:val="en-US" w:eastAsia="zh-CN"/>
              </w:rPr>
            </w:pPr>
            <w:r>
              <w:rPr>
                <w:rFonts w:hint="eastAsia"/>
                <w:kern w:val="0"/>
                <w:sz w:val="24"/>
                <w:highlight w:val="none"/>
                <w:lang w:val="en-US" w:eastAsia="zh-CN"/>
              </w:rPr>
              <w:t>航空航天方面，钨、钼精深加工产品用于飞机、火箭的推进系统中，以保证机械系统良好的耐腐蚀性，同时能降低能耗。</w:t>
            </w:r>
          </w:p>
          <w:p>
            <w:pPr>
              <w:spacing w:line="360" w:lineRule="auto"/>
              <w:ind w:firstLine="480" w:firstLineChars="200"/>
              <w:rPr>
                <w:rFonts w:hint="eastAsia"/>
                <w:kern w:val="0"/>
                <w:sz w:val="24"/>
                <w:highlight w:val="none"/>
                <w:lang w:val="en-US" w:eastAsia="zh-CN"/>
              </w:rPr>
            </w:pPr>
            <w:r>
              <w:rPr>
                <w:rFonts w:hint="eastAsia"/>
                <w:kern w:val="0"/>
                <w:sz w:val="24"/>
                <w:highlight w:val="none"/>
                <w:lang w:val="en-US" w:eastAsia="zh-CN"/>
              </w:rPr>
              <w:t>医疗器械方面，利用钨基高比重合金对X射线的强衰减能力，可将钨、钼精深加工产品用做各种放射性源的屏蔽元件或容器。</w:t>
            </w:r>
          </w:p>
          <w:p>
            <w:pPr>
              <w:spacing w:line="360" w:lineRule="auto"/>
              <w:ind w:firstLine="480" w:firstLineChars="200"/>
              <w:rPr>
                <w:rFonts w:hint="eastAsia"/>
                <w:kern w:val="0"/>
                <w:sz w:val="24"/>
                <w:highlight w:val="none"/>
                <w:lang w:val="en-US" w:eastAsia="zh-CN"/>
              </w:rPr>
            </w:pPr>
            <w:r>
              <w:rPr>
                <w:rFonts w:hint="eastAsia"/>
                <w:kern w:val="0"/>
                <w:sz w:val="24"/>
                <w:highlight w:val="none"/>
                <w:lang w:val="en-US" w:eastAsia="zh-CN"/>
              </w:rPr>
              <w:t xml:space="preserve">蓝宝石长晶炉热场方面，利用钨、钼材料的高熔点和耐热性能，可将钨、钼精深加工产品用蓝宝石长晶炉热场生产蓝宝石。 </w:t>
            </w:r>
          </w:p>
          <w:p>
            <w:pPr>
              <w:spacing w:line="360" w:lineRule="auto"/>
              <w:ind w:firstLine="480" w:firstLineChars="200"/>
              <w:rPr>
                <w:rFonts w:hint="eastAsia"/>
                <w:kern w:val="0"/>
                <w:sz w:val="24"/>
                <w:highlight w:val="none"/>
                <w:lang w:val="en-US" w:eastAsia="zh-CN"/>
              </w:rPr>
            </w:pPr>
            <w:r>
              <w:rPr>
                <w:rFonts w:hint="eastAsia"/>
                <w:kern w:val="0"/>
                <w:sz w:val="24"/>
                <w:highlight w:val="none"/>
                <w:lang w:val="en-US" w:eastAsia="zh-CN"/>
              </w:rPr>
              <w:t>钨电极及高压开关方面，利用钨电极起弧性能好，弧柱稳定性高，电极烧损率小的特点，可将钨铜合金用作高中压开关或断路器的弧触头和真空触头，钍钨电极因起弧性能好主要应用在焊接上。</w:t>
            </w:r>
          </w:p>
          <w:p>
            <w:pPr>
              <w:spacing w:line="360" w:lineRule="auto"/>
              <w:ind w:firstLine="480" w:firstLineChars="200"/>
              <w:rPr>
                <w:rFonts w:hint="eastAsia"/>
                <w:sz w:val="24"/>
                <w:szCs w:val="28"/>
                <w:highlight w:val="none"/>
                <w:lang w:val="en-US" w:eastAsia="zh-CN"/>
              </w:rPr>
            </w:pPr>
            <w:r>
              <w:rPr>
                <w:rFonts w:hint="eastAsia"/>
                <w:kern w:val="0"/>
                <w:sz w:val="24"/>
                <w:highlight w:val="none"/>
                <w:lang w:val="en-US" w:eastAsia="zh-CN"/>
              </w:rPr>
              <w:t xml:space="preserve"> </w:t>
            </w:r>
            <w:r>
              <w:rPr>
                <w:rFonts w:hint="eastAsia"/>
                <w:sz w:val="24"/>
                <w:szCs w:val="28"/>
                <w:highlight w:val="none"/>
                <w:lang w:val="en-US" w:eastAsia="zh-CN"/>
              </w:rPr>
              <w:t>2018年度实现营业收入14.38亿，净利润1.46亿。相比2017年度，净利润有所下降，主要是因为：2018年安泰天龙搬迁至天津宝坻成本费用增加及在建工程转固投入成本增加所致。</w:t>
            </w:r>
          </w:p>
          <w:p>
            <w:pPr>
              <w:spacing w:line="360" w:lineRule="auto"/>
              <w:ind w:firstLine="482" w:firstLineChars="200"/>
              <w:rPr>
                <w:rFonts w:hint="eastAsia"/>
                <w:b/>
                <w:bCs/>
                <w:kern w:val="0"/>
                <w:sz w:val="24"/>
                <w:highlight w:val="none"/>
                <w:lang w:val="en-US" w:eastAsia="zh-CN"/>
              </w:rPr>
            </w:pPr>
            <w:r>
              <w:rPr>
                <w:rFonts w:hint="eastAsia"/>
                <w:b/>
                <w:bCs/>
                <w:kern w:val="0"/>
                <w:sz w:val="24"/>
                <w:highlight w:val="none"/>
                <w:lang w:val="en-US" w:eastAsia="zh-CN"/>
              </w:rPr>
              <w:t>4、河冶科技科技业务情况</w:t>
            </w:r>
          </w:p>
          <w:p>
            <w:pPr>
              <w:spacing w:line="360" w:lineRule="auto"/>
              <w:ind w:firstLine="480" w:firstLineChars="200"/>
              <w:rPr>
                <w:rFonts w:hint="eastAsia"/>
                <w:sz w:val="24"/>
                <w:szCs w:val="28"/>
                <w:highlight w:val="none"/>
                <w:lang w:val="en-US" w:eastAsia="zh-CN"/>
              </w:rPr>
            </w:pPr>
            <w:r>
              <w:rPr>
                <w:rFonts w:hint="eastAsia"/>
                <w:sz w:val="24"/>
                <w:szCs w:val="28"/>
                <w:highlight w:val="none"/>
                <w:lang w:val="en-US" w:eastAsia="zh-CN"/>
              </w:rPr>
              <w:t>河冶科技是公司控股的中外合资股份制企业，主要股东有安泰科技、日本住友商事株式会社、中国钢研科技集团有限公司等。</w:t>
            </w:r>
          </w:p>
          <w:p>
            <w:pPr>
              <w:spacing w:line="360" w:lineRule="auto"/>
              <w:ind w:firstLine="480" w:firstLineChars="200"/>
              <w:rPr>
                <w:rFonts w:hint="eastAsia"/>
                <w:sz w:val="24"/>
                <w:szCs w:val="28"/>
                <w:highlight w:val="none"/>
                <w:lang w:val="en-US" w:eastAsia="zh-CN"/>
              </w:rPr>
            </w:pPr>
            <w:r>
              <w:rPr>
                <w:rFonts w:hint="eastAsia"/>
                <w:sz w:val="24"/>
                <w:szCs w:val="28"/>
                <w:highlight w:val="none"/>
                <w:lang w:val="en-US" w:eastAsia="zh-CN"/>
              </w:rPr>
              <w:t>河冶科技产品按材料类别分为刀具材料（粉末、喷射、传统）、高端模具材料、关键零部件材料三大类；按产品形态分为银亮棒材、异型材、丝材以及锻件等八个系列近千个规格，并可根据顾客需要提供锻制、挤压、焊接类近终成型刀具或零部件毛坯。河冶科技材料产品广泛用于机床工具、模具、汽车、航空、船舶、军工、冶金、汽轮机等行业。</w:t>
            </w:r>
          </w:p>
          <w:p>
            <w:pPr>
              <w:spacing w:line="360" w:lineRule="auto"/>
              <w:ind w:firstLine="480" w:firstLineChars="200"/>
              <w:rPr>
                <w:rFonts w:hint="eastAsia"/>
                <w:sz w:val="24"/>
                <w:szCs w:val="28"/>
                <w:highlight w:val="none"/>
                <w:lang w:val="en-US" w:eastAsia="zh-CN"/>
              </w:rPr>
            </w:pPr>
            <w:r>
              <w:rPr>
                <w:rFonts w:hint="eastAsia"/>
                <w:sz w:val="24"/>
                <w:szCs w:val="28"/>
                <w:highlight w:val="none"/>
                <w:lang w:val="en-US" w:eastAsia="zh-CN"/>
              </w:rPr>
              <w:t>2018年度实现营业收入10.12亿，净利润2,057万。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rFonts w:hint="eastAsia"/>
                <w:b/>
                <w:bCs/>
                <w:kern w:val="0"/>
                <w:sz w:val="24"/>
                <w:highlight w:val="none"/>
                <w:lang w:val="en-US" w:eastAsia="zh-CN"/>
              </w:rPr>
            </w:pPr>
            <w:r>
              <w:rPr>
                <w:rFonts w:hint="eastAsia"/>
                <w:b/>
                <w:bCs/>
                <w:kern w:val="0"/>
                <w:sz w:val="24"/>
                <w:highlight w:val="none"/>
                <w:lang w:val="en-US" w:eastAsia="zh-CN"/>
              </w:rPr>
              <w:t>5、公司稀土资产注入事项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kern w:val="0"/>
                <w:sz w:val="24"/>
                <w:highlight w:val="none"/>
                <w:lang w:val="en-US" w:eastAsia="zh-CN"/>
              </w:rPr>
            </w:pPr>
            <w:r>
              <w:rPr>
                <w:rFonts w:hint="eastAsia"/>
                <w:kern w:val="0"/>
                <w:sz w:val="24"/>
                <w:highlight w:val="none"/>
                <w:lang w:val="en-US" w:eastAsia="zh-CN"/>
              </w:rPr>
              <w:t>中国钢研科技集团有限公司（以下简称“中国钢研”）于2015年7月9日承诺争取在2016年12月底之前完成重组并将其拥有的“山东钢研中铝稀土集团”的控股权通过合法程序、适当方式，以及公平合理的市场价格注入本公司。2016年12月7日，本公司收到控股股东之《中国钢研科技集团有限公司关于变更向安泰科技股份有限公司注入稀土矿业务资产部分承诺内容的函》，中国钢研经审慎分析，为保障中小股东利益，调整注入稀土矿业务资产部分承诺内容，即调整为“承诺在2017年12月31日前完成山东稀土控股权注入的决策程序”。2018年12月10日，公司再次收到控股股东之《中国钢研科技集团有限公司关于再次变更向安泰科技股份有限公司注入稀土矿业务资产部分承诺内容的函》，再次调整注入安泰科技稀土矿业务资产的部分承诺内容，即调整为“承诺在2019年10月31日前完成山东稀土控股权注入的决策程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kern w:val="0"/>
                <w:sz w:val="24"/>
                <w:highlight w:val="none"/>
                <w:lang w:val="en-US" w:eastAsia="zh-CN"/>
              </w:rPr>
            </w:pPr>
            <w:r>
              <w:rPr>
                <w:rFonts w:hint="eastAsia"/>
                <w:kern w:val="0"/>
                <w:sz w:val="24"/>
                <w:highlight w:val="none"/>
                <w:lang w:val="en-US" w:eastAsia="zh-CN"/>
              </w:rPr>
              <w:t>截至目前，涉及稀土资产注入的各项工作，如地方政府洽商、股东沟通、稀土分离冶炼工艺贯通、业务梳理等事项在过去两年中均全面加紧推进，并取得良好进展；目前已取得现有-160米以上采矿权主体资格变更批复许可，取得划定矿区范围批复；由于推进过程中国家矿业权相关政策发生变化，采矿权办理由国土资源厅下放至省厅，原山东省国土资源厅又进行机构调整和改革，直至2018年10月27日完成自然资源厅挂牌，以致深部采矿权证办理受阻。2018年10月31日，山东省自然资源厅发布矿业权市场基准价的通知，明确了市场基准价。后续工作，首先是尽快推进山东省自然资源厅指定的采矿权评估机构进行评估定价，然后缴纳矿业权价款；其次，申请国家环保部门对《关于环境影响评价报告书》、《自然资源部关于地质环境保护与土地复垦方案》等文件的批复；最后，办理山东省自然资源厅申请核发深部采矿权证等一系列相关手续。但因涉及国家部委和地方政府委办局的管理事项，其时间进度存在较大不确定性。中国钢研与安泰科技将随时公告该事项进展情况。</w:t>
            </w:r>
          </w:p>
          <w:p>
            <w:pPr>
              <w:numPr>
                <w:ilvl w:val="0"/>
                <w:numId w:val="0"/>
              </w:numPr>
              <w:spacing w:line="360" w:lineRule="auto"/>
              <w:ind w:firstLine="482" w:firstLineChars="200"/>
              <w:rPr>
                <w:rFonts w:hint="eastAsia"/>
                <w:b/>
                <w:bCs/>
                <w:kern w:val="0"/>
                <w:sz w:val="24"/>
                <w:lang w:val="en-US" w:eastAsia="zh-CN"/>
              </w:rPr>
            </w:pPr>
            <w:r>
              <w:rPr>
                <w:rFonts w:hint="eastAsia"/>
                <w:b/>
                <w:bCs/>
                <w:sz w:val="24"/>
                <w:szCs w:val="28"/>
                <w:highlight w:val="none"/>
                <w:lang w:val="en-US" w:eastAsia="zh-CN"/>
              </w:rPr>
              <w:t>6、关于</w:t>
            </w:r>
            <w:r>
              <w:rPr>
                <w:rFonts w:hint="eastAsia"/>
                <w:b/>
                <w:bCs/>
                <w:kern w:val="0"/>
                <w:sz w:val="24"/>
                <w:lang w:val="en-US" w:eastAsia="zh-CN"/>
              </w:rPr>
              <w:t>并购基金事项</w:t>
            </w:r>
          </w:p>
          <w:p>
            <w:pPr>
              <w:spacing w:line="360" w:lineRule="auto"/>
              <w:ind w:firstLine="480" w:firstLineChars="200"/>
              <w:rPr>
                <w:rFonts w:hint="eastAsia"/>
                <w:sz w:val="24"/>
                <w:szCs w:val="28"/>
                <w:highlight w:val="none"/>
                <w:lang w:val="en-US" w:eastAsia="zh-CN"/>
              </w:rPr>
            </w:pPr>
            <w:r>
              <w:rPr>
                <w:rFonts w:hint="eastAsia"/>
                <w:sz w:val="24"/>
                <w:szCs w:val="28"/>
                <w:highlight w:val="none"/>
                <w:lang w:val="en-US" w:eastAsia="zh-CN"/>
              </w:rPr>
              <w:t>公司于2016年4月25日召开第六届董事会第十七次会议，审议通过了《关于对外合作设立投资管理公司和新材料行业并购基金的议案》，同意全资子公司安泰创投对外投资设立投资管理公司，同时公司与其他投资者共同出资设立新材料行业并购基金，主要投资方向以新材料及应用为核心，同时涵盖新能源、节能环保、高端制造等相关领域，并利用公司现有的市场网络和新材料行业内的影响力为被投企业提供增值服务，产生协同效应。</w:t>
            </w:r>
          </w:p>
          <w:p>
            <w:pPr>
              <w:spacing w:line="360" w:lineRule="auto"/>
              <w:ind w:firstLine="480" w:firstLineChars="200"/>
              <w:rPr>
                <w:rFonts w:hint="eastAsia"/>
                <w:sz w:val="24"/>
                <w:szCs w:val="28"/>
                <w:highlight w:val="none"/>
                <w:lang w:val="en-US" w:eastAsia="zh-CN"/>
              </w:rPr>
            </w:pPr>
            <w:r>
              <w:rPr>
                <w:rFonts w:hint="eastAsia"/>
                <w:sz w:val="24"/>
                <w:szCs w:val="28"/>
                <w:highlight w:val="none"/>
                <w:lang w:val="en-US" w:eastAsia="zh-CN"/>
              </w:rPr>
              <w:t xml:space="preserve">安泰创投对外投资设立的投资管理公司“深圳市启赋安泰投资管理有限公司”于2016年4月27日完成工商注册，并于2017年7月27日在中国证券投资基金业协会完成私募基金管理人登记（登记编号 P1063974）。该公司注册资本人民币1,000万元，启赋资本、安泰创投、鑫盛投资的出资比例分别为40%、30%和30%。 </w:t>
            </w:r>
          </w:p>
          <w:p>
            <w:pPr>
              <w:spacing w:line="360" w:lineRule="auto"/>
              <w:ind w:firstLine="480" w:firstLineChars="200"/>
              <w:rPr>
                <w:rFonts w:hint="eastAsia"/>
                <w:sz w:val="24"/>
                <w:szCs w:val="28"/>
                <w:highlight w:val="none"/>
                <w:lang w:val="en-US" w:eastAsia="zh-CN"/>
              </w:rPr>
            </w:pPr>
            <w:r>
              <w:rPr>
                <w:rFonts w:hint="eastAsia"/>
                <w:sz w:val="24"/>
                <w:szCs w:val="28"/>
                <w:highlight w:val="none"/>
                <w:lang w:val="en-US" w:eastAsia="zh-CN"/>
              </w:rPr>
              <w:t xml:space="preserve">公司接到启赋安泰的通知，由该公司和北京融和明德投资管理有限公司共同基金管理，启赋安泰基金、先进制造产业投资基金（有限合伙）、北京中关村并购母基金投资中心（有限合伙）、北京大慧九鼎投资合伙企业（有限合伙）等投资机构作为出资人的项目基金——常州悦石科泰思投资合伙企业（有限合伙）， 通过其在境内设立的特殊目的公司常州启赋安泰复合材料科技有限公司作为收购主体，已完成对德国Cotesa GmbH公司100%股权的收购。本项交易于2017 年9月8日签署股权转让协议（SPA），2018年4月17日收到德国经济部对此项交易无异议函，2018年5月16日完成股权交割。 </w:t>
            </w:r>
          </w:p>
          <w:p>
            <w:pPr>
              <w:spacing w:line="360" w:lineRule="auto"/>
              <w:ind w:firstLine="482" w:firstLineChars="200"/>
              <w:rPr>
                <w:rFonts w:hint="eastAsia"/>
                <w:b/>
                <w:bCs/>
                <w:kern w:val="0"/>
                <w:sz w:val="24"/>
                <w:highlight w:val="none"/>
              </w:rPr>
            </w:pPr>
            <w:r>
              <w:rPr>
                <w:rFonts w:hint="eastAsia"/>
                <w:b/>
                <w:bCs/>
                <w:kern w:val="0"/>
                <w:sz w:val="24"/>
                <w:highlight w:val="none"/>
                <w:lang w:val="en-US" w:eastAsia="zh-CN"/>
              </w:rPr>
              <w:t>7</w:t>
            </w:r>
            <w:r>
              <w:rPr>
                <w:rFonts w:hint="eastAsia"/>
                <w:b/>
                <w:bCs/>
                <w:kern w:val="0"/>
                <w:sz w:val="24"/>
                <w:highlight w:val="none"/>
              </w:rPr>
              <w:t>、磁性材料及制品业务</w:t>
            </w:r>
          </w:p>
          <w:p>
            <w:pPr>
              <w:spacing w:line="360" w:lineRule="auto"/>
              <w:ind w:firstLine="480" w:firstLineChars="200"/>
              <w:rPr>
                <w:rFonts w:hint="eastAsia"/>
                <w:kern w:val="0"/>
                <w:sz w:val="24"/>
                <w:highlight w:val="none"/>
                <w:lang w:val="en-US" w:eastAsia="zh-CN"/>
              </w:rPr>
            </w:pPr>
            <w:r>
              <w:rPr>
                <w:rFonts w:hint="eastAsia"/>
                <w:kern w:val="0"/>
                <w:sz w:val="24"/>
                <w:highlight w:val="none"/>
              </w:rPr>
              <w:t>稀土永磁材料及制品是安泰科技磁材业务的重要组成部分，也是公司的核心业务之一</w:t>
            </w:r>
            <w:r>
              <w:rPr>
                <w:rFonts w:hint="eastAsia"/>
                <w:kern w:val="0"/>
                <w:sz w:val="24"/>
                <w:highlight w:val="none"/>
                <w:lang w:eastAsia="zh-CN"/>
              </w:rPr>
              <w:t>，</w:t>
            </w:r>
            <w:r>
              <w:rPr>
                <w:rFonts w:hint="eastAsia"/>
                <w:kern w:val="0"/>
                <w:sz w:val="24"/>
                <w:highlight w:val="none"/>
              </w:rPr>
              <w:t>公司磁性材料及制品主要应用于计算机、消费电子、各种电机、汽车</w:t>
            </w:r>
            <w:r>
              <w:rPr>
                <w:rFonts w:hint="eastAsia"/>
                <w:kern w:val="0"/>
                <w:sz w:val="24"/>
                <w:highlight w:val="none"/>
                <w:lang w:eastAsia="zh-CN"/>
              </w:rPr>
              <w:t>、</w:t>
            </w:r>
            <w:r>
              <w:rPr>
                <w:rFonts w:hint="eastAsia"/>
                <w:kern w:val="0"/>
                <w:sz w:val="24"/>
                <w:highlight w:val="none"/>
                <w:lang w:val="en-US" w:eastAsia="zh-CN"/>
              </w:rPr>
              <w:t>高端音响</w:t>
            </w:r>
            <w:r>
              <w:rPr>
                <w:rFonts w:hint="eastAsia"/>
                <w:kern w:val="0"/>
                <w:sz w:val="24"/>
                <w:highlight w:val="none"/>
              </w:rPr>
              <w:t>等中高端市场。为进一步提高产品档次和市场竞争力，</w:t>
            </w:r>
            <w:r>
              <w:rPr>
                <w:rFonts w:hint="eastAsia"/>
                <w:kern w:val="0"/>
                <w:sz w:val="24"/>
                <w:highlight w:val="none"/>
                <w:lang w:val="en-US" w:eastAsia="zh-CN"/>
              </w:rPr>
              <w:t>2013年经公司董事会同意在公司空港产业园实施“新能源汽车用高性能稀土永磁制品产能扩大项目”，项目实施后增加烧结钕铁硼生产能力500吨/年，2016年该项目建设全面完成，并已进入生产状态。截至2018年度公司稀土永磁制品产能约2500吨/年。目前，公司钕铁硼磁性材料已具备较强的产品开发能力、较强的市场开拓能力，所生产的高端钕铁硼磁性材料已经应用在高档消费电子（包括 VCM）、工业电机和汽车等重要领域，并取得了许多重要用户行业、国际主流客户的认证。</w:t>
            </w:r>
          </w:p>
          <w:p>
            <w:pPr>
              <w:spacing w:line="360" w:lineRule="auto"/>
              <w:ind w:firstLine="482" w:firstLineChars="200"/>
              <w:rPr>
                <w:rFonts w:hint="eastAsia"/>
                <w:b/>
                <w:bCs/>
                <w:kern w:val="0"/>
                <w:sz w:val="24"/>
                <w:highlight w:val="none"/>
                <w:lang w:val="en-US" w:eastAsia="zh-CN"/>
              </w:rPr>
            </w:pPr>
            <w:r>
              <w:rPr>
                <w:rFonts w:hint="eastAsia"/>
                <w:b/>
                <w:bCs/>
                <w:kern w:val="0"/>
                <w:sz w:val="24"/>
                <w:highlight w:val="none"/>
                <w:lang w:val="en-US" w:eastAsia="zh-CN"/>
              </w:rPr>
              <w:t>8、安泰生物诉讼事项</w:t>
            </w:r>
          </w:p>
          <w:p>
            <w:pPr>
              <w:spacing w:line="360" w:lineRule="auto"/>
              <w:ind w:firstLine="480" w:firstLineChars="200"/>
              <w:rPr>
                <w:rFonts w:hint="eastAsia"/>
                <w:kern w:val="0"/>
                <w:sz w:val="24"/>
                <w:highlight w:val="none"/>
              </w:rPr>
            </w:pPr>
            <w:r>
              <w:rPr>
                <w:rFonts w:hint="eastAsia"/>
                <w:kern w:val="0"/>
                <w:sz w:val="24"/>
                <w:highlight w:val="none"/>
              </w:rPr>
              <w:t>2016年9月，公司收到北京市海淀区人民法院送达的民事起诉状一份和开庭《传票》等相关法律文件，案号（2016）京0108民初33217号。根据开庭《传票》的内容，本案件已于2016年10月25日开庭审理。中通银莱以本公司向其转让安泰生物股权存在纠纷为由起诉本公司，要求本公司解除安泰生物股权交易合同。本案于2017年4月20日在北京市海淀区人民法院开庭，诉讼中中通银莱要求变更诉讼请求，将解除合同变更为撤销合同。2017年10月25日，北京市海淀区人民法院依据其2017年9月1日作出的财产保全裁定书，冻结本公司基本账户项下人民币9,000.00万元。2018年12月27日晚间，公司收到北京市海淀区人民法院《民事判决书》，案号（2016）京 0108 民初 33217 号，北京市海淀区人民法院依照有关规定对该案作出了一审判决。截至本报告期末，公司已依法向北京市第一中级人民法院提起上诉，维护公司合法权益</w:t>
            </w:r>
            <w:r>
              <w:rPr>
                <w:rFonts w:hint="eastAsia"/>
                <w:kern w:val="0"/>
                <w:sz w:val="24"/>
                <w:highlight w:val="none"/>
                <w:lang w:eastAsia="zh-CN"/>
              </w:rPr>
              <w:t>。</w:t>
            </w:r>
            <w:r>
              <w:rPr>
                <w:rFonts w:hint="eastAsia"/>
                <w:kern w:val="0"/>
                <w:sz w:val="24"/>
                <w:highlight w:val="none"/>
                <w:lang w:val="en-US" w:eastAsia="zh-CN"/>
              </w:rPr>
              <w:t>目前该案件正在审理过程中，公司将坚定不移的维护合法权益及股东利益。</w:t>
            </w:r>
            <w:r>
              <w:rPr>
                <w:rFonts w:hint="eastAsia"/>
                <w:kern w:val="0"/>
                <w:sz w:val="24"/>
                <w:highlight w:val="none"/>
              </w:rPr>
              <w:t xml:space="preserve"> </w:t>
            </w:r>
          </w:p>
          <w:p>
            <w:pPr>
              <w:spacing w:line="360" w:lineRule="auto"/>
              <w:ind w:firstLine="480" w:firstLineChars="200"/>
              <w:rPr>
                <w:kern w:val="0"/>
                <w:sz w:val="24"/>
                <w:highlight w:val="none"/>
              </w:rPr>
            </w:pPr>
            <w:r>
              <w:rPr>
                <w:kern w:val="0"/>
                <w:sz w:val="24"/>
                <w:highlight w:val="none"/>
              </w:rPr>
              <w:t>本次接待过程中，公司与投资者进行了交流与沟通，严格依照《信息披露管理制度》等规定执行，保证信息披露的真实、准确、完整、及时、公平，未出现未公开重大信息泄露等情况，同时已按深交所要求签署调研《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vAlign w:val="center"/>
          </w:tcPr>
          <w:p>
            <w:pPr>
              <w:spacing w:line="360" w:lineRule="auto"/>
              <w:rPr>
                <w:bCs/>
                <w:iCs/>
                <w:sz w:val="24"/>
                <w:highlight w:val="none"/>
              </w:rPr>
            </w:pPr>
            <w:r>
              <w:rPr>
                <w:bCs/>
                <w:iCs/>
                <w:sz w:val="24"/>
                <w:highlight w:val="none"/>
              </w:rPr>
              <w:t>附件清单（如有）</w:t>
            </w:r>
          </w:p>
        </w:tc>
        <w:tc>
          <w:tcPr>
            <w:tcW w:w="7322" w:type="dxa"/>
            <w:tcBorders>
              <w:top w:val="single" w:color="auto" w:sz="4" w:space="0"/>
              <w:left w:val="single" w:color="auto" w:sz="4" w:space="0"/>
              <w:bottom w:val="single" w:color="auto" w:sz="4" w:space="0"/>
              <w:right w:val="single" w:color="auto" w:sz="4" w:space="0"/>
            </w:tcBorders>
            <w:vAlign w:val="top"/>
          </w:tcPr>
          <w:p>
            <w:pPr>
              <w:spacing w:line="360" w:lineRule="auto"/>
              <w:rPr>
                <w:bCs/>
                <w:iCs/>
                <w:sz w:val="24"/>
                <w:highlight w:val="none"/>
              </w:rPr>
            </w:pPr>
            <w:r>
              <w:rPr>
                <w:bCs/>
                <w:iCs/>
                <w:sz w:val="24"/>
                <w:highlight w:val="none"/>
              </w:rPr>
              <w:t>公司简介（</w:t>
            </w:r>
            <w:r>
              <w:rPr>
                <w:rFonts w:hint="eastAsia"/>
                <w:bCs/>
                <w:iCs/>
                <w:sz w:val="24"/>
                <w:highlight w:val="none"/>
                <w:lang w:val="en-US" w:eastAsia="zh-CN"/>
              </w:rPr>
              <w:t>摘自</w:t>
            </w:r>
            <w:r>
              <w:rPr>
                <w:bCs/>
                <w:iCs/>
                <w:sz w:val="24"/>
                <w:highlight w:val="none"/>
              </w:rPr>
              <w:t>公司网站</w:t>
            </w:r>
            <w:r>
              <w:rPr>
                <w:bCs/>
                <w:iCs/>
                <w:sz w:val="24"/>
                <w:highlight w:val="none"/>
              </w:rPr>
              <w:fldChar w:fldCharType="begin"/>
            </w:r>
            <w:r>
              <w:rPr>
                <w:bCs/>
                <w:iCs/>
                <w:sz w:val="24"/>
                <w:highlight w:val="none"/>
              </w:rPr>
              <w:instrText xml:space="preserve"> HYPERLINK "http://www.atmcn.com" </w:instrText>
            </w:r>
            <w:r>
              <w:rPr>
                <w:bCs/>
                <w:iCs/>
                <w:sz w:val="24"/>
                <w:highlight w:val="none"/>
              </w:rPr>
              <w:fldChar w:fldCharType="separate"/>
            </w:r>
            <w:r>
              <w:rPr>
                <w:rStyle w:val="9"/>
                <w:bCs/>
                <w:iCs/>
                <w:color w:val="auto"/>
                <w:sz w:val="24"/>
                <w:highlight w:val="none"/>
              </w:rPr>
              <w:t>www.atmcn.com</w:t>
            </w:r>
            <w:r>
              <w:rPr>
                <w:bCs/>
                <w:iCs/>
                <w:sz w:val="24"/>
                <w:highlight w:val="none"/>
              </w:rPr>
              <w:fldChar w:fldCharType="end"/>
            </w:r>
            <w:r>
              <w:rPr>
                <w:rFonts w:hint="eastAsia"/>
                <w:bCs/>
                <w:iCs/>
                <w:sz w:val="24"/>
                <w:highlight w:val="none"/>
                <w:lang w:val="en-US" w:eastAsia="zh-CN"/>
              </w:rPr>
              <w:t>的相关业务介绍</w:t>
            </w:r>
            <w:r>
              <w:rPr>
                <w:bCs/>
                <w:iCs/>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vAlign w:val="center"/>
          </w:tcPr>
          <w:p>
            <w:pPr>
              <w:spacing w:line="360" w:lineRule="auto"/>
              <w:rPr>
                <w:bCs/>
                <w:iCs/>
                <w:sz w:val="24"/>
                <w:highlight w:val="none"/>
              </w:rPr>
            </w:pPr>
            <w:r>
              <w:rPr>
                <w:rFonts w:hint="eastAsia"/>
                <w:bCs/>
                <w:iCs/>
                <w:sz w:val="24"/>
                <w:highlight w:val="none"/>
                <w:lang w:val="en-US" w:eastAsia="zh-CN"/>
              </w:rPr>
              <w:t>披露</w:t>
            </w:r>
            <w:r>
              <w:rPr>
                <w:bCs/>
                <w:iCs/>
                <w:sz w:val="24"/>
                <w:highlight w:val="none"/>
              </w:rPr>
              <w:t>日期</w:t>
            </w:r>
          </w:p>
        </w:tc>
        <w:tc>
          <w:tcPr>
            <w:tcW w:w="7322" w:type="dxa"/>
            <w:tcBorders>
              <w:top w:val="single" w:color="auto" w:sz="4" w:space="0"/>
              <w:left w:val="single" w:color="auto" w:sz="4" w:space="0"/>
              <w:bottom w:val="single" w:color="auto" w:sz="4" w:space="0"/>
              <w:right w:val="single" w:color="auto" w:sz="4" w:space="0"/>
            </w:tcBorders>
            <w:vAlign w:val="top"/>
          </w:tcPr>
          <w:p>
            <w:pPr>
              <w:spacing w:line="360" w:lineRule="auto"/>
              <w:rPr>
                <w:bCs/>
                <w:iCs/>
                <w:sz w:val="24"/>
                <w:highlight w:val="none"/>
              </w:rPr>
            </w:pPr>
            <w:r>
              <w:rPr>
                <w:bCs/>
                <w:iCs/>
                <w:sz w:val="24"/>
                <w:highlight w:val="none"/>
              </w:rPr>
              <w:t>201</w:t>
            </w:r>
            <w:r>
              <w:rPr>
                <w:rFonts w:hint="eastAsia"/>
                <w:bCs/>
                <w:iCs/>
                <w:sz w:val="24"/>
                <w:highlight w:val="none"/>
                <w:lang w:val="en-US" w:eastAsia="zh-CN"/>
              </w:rPr>
              <w:t>9</w:t>
            </w:r>
            <w:r>
              <w:rPr>
                <w:bCs/>
                <w:iCs/>
                <w:sz w:val="24"/>
                <w:highlight w:val="none"/>
              </w:rPr>
              <w:t>年</w:t>
            </w:r>
            <w:r>
              <w:rPr>
                <w:rFonts w:hint="eastAsia"/>
                <w:bCs/>
                <w:iCs/>
                <w:sz w:val="24"/>
                <w:highlight w:val="none"/>
                <w:lang w:val="en-US" w:eastAsia="zh-CN"/>
              </w:rPr>
              <w:t>5</w:t>
            </w:r>
            <w:r>
              <w:rPr>
                <w:bCs/>
                <w:iCs/>
                <w:sz w:val="24"/>
                <w:highlight w:val="none"/>
              </w:rPr>
              <w:t>月</w:t>
            </w:r>
            <w:r>
              <w:rPr>
                <w:rFonts w:hint="eastAsia"/>
                <w:bCs/>
                <w:iCs/>
                <w:sz w:val="24"/>
                <w:highlight w:val="none"/>
                <w:lang w:val="en-US" w:eastAsia="zh-CN"/>
              </w:rPr>
              <w:t>5</w:t>
            </w:r>
            <w:r>
              <w:rPr>
                <w:bCs/>
                <w:iCs/>
                <w:sz w:val="24"/>
                <w:highlight w:val="none"/>
              </w:rPr>
              <w:t>日</w:t>
            </w:r>
          </w:p>
        </w:tc>
      </w:tr>
    </w:tbl>
    <w:p/>
    <w:p>
      <w:bookmarkStart w:id="0" w:name="_GoBack"/>
      <w:bookmarkEnd w:id="0"/>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roman"/>
    <w:pitch w:val="default"/>
    <w:sig w:usb0="E0002EFF" w:usb1="C000785B" w:usb2="00000009" w:usb3="00000000" w:csb0="400001FF" w:csb1="FFFF0000"/>
  </w:font>
  <w:font w:name="楷体_GB2312">
    <w:altName w:val="楷体"/>
    <w:panose1 w:val="02010609030101010101"/>
    <w:charset w:val="86"/>
    <w:family w:val="decorative"/>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Bembo">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4E5F82"/>
    <w:rsid w:val="0247309C"/>
    <w:rsid w:val="028909BA"/>
    <w:rsid w:val="03055D87"/>
    <w:rsid w:val="035D650A"/>
    <w:rsid w:val="038F2C36"/>
    <w:rsid w:val="044F12AB"/>
    <w:rsid w:val="081D450A"/>
    <w:rsid w:val="09333F26"/>
    <w:rsid w:val="0CAA4C53"/>
    <w:rsid w:val="0DF56D05"/>
    <w:rsid w:val="10D34D09"/>
    <w:rsid w:val="134C65D3"/>
    <w:rsid w:val="14814475"/>
    <w:rsid w:val="17C32106"/>
    <w:rsid w:val="1DDC5758"/>
    <w:rsid w:val="1E737FB1"/>
    <w:rsid w:val="205040CE"/>
    <w:rsid w:val="2068067E"/>
    <w:rsid w:val="211F3DFC"/>
    <w:rsid w:val="244850FE"/>
    <w:rsid w:val="274E5F82"/>
    <w:rsid w:val="28A97DB0"/>
    <w:rsid w:val="2C763504"/>
    <w:rsid w:val="2C8809FB"/>
    <w:rsid w:val="2E522C15"/>
    <w:rsid w:val="2EBA41E4"/>
    <w:rsid w:val="30ED3589"/>
    <w:rsid w:val="325A2AFD"/>
    <w:rsid w:val="348727E4"/>
    <w:rsid w:val="3C822C00"/>
    <w:rsid w:val="401C0D0B"/>
    <w:rsid w:val="41741B70"/>
    <w:rsid w:val="43EB53CA"/>
    <w:rsid w:val="46DC592E"/>
    <w:rsid w:val="474A6FD5"/>
    <w:rsid w:val="4A957F38"/>
    <w:rsid w:val="4AD5306B"/>
    <w:rsid w:val="4BFF143B"/>
    <w:rsid w:val="4C242847"/>
    <w:rsid w:val="4C605035"/>
    <w:rsid w:val="4D0E6C0E"/>
    <w:rsid w:val="4E8673BB"/>
    <w:rsid w:val="54291DD1"/>
    <w:rsid w:val="5543531D"/>
    <w:rsid w:val="573C5734"/>
    <w:rsid w:val="57733A20"/>
    <w:rsid w:val="593F4B04"/>
    <w:rsid w:val="5B1F5247"/>
    <w:rsid w:val="5CA23B87"/>
    <w:rsid w:val="5D0F5A4C"/>
    <w:rsid w:val="62762D19"/>
    <w:rsid w:val="632C764E"/>
    <w:rsid w:val="672C74D4"/>
    <w:rsid w:val="672E23DB"/>
    <w:rsid w:val="6B110397"/>
    <w:rsid w:val="6B7C318A"/>
    <w:rsid w:val="6C300228"/>
    <w:rsid w:val="6CA72073"/>
    <w:rsid w:val="6CDF413F"/>
    <w:rsid w:val="6E233647"/>
    <w:rsid w:val="70F36C2A"/>
    <w:rsid w:val="7150505B"/>
    <w:rsid w:val="71DD6F7F"/>
    <w:rsid w:val="73602F73"/>
    <w:rsid w:val="740C6D85"/>
    <w:rsid w:val="79DF2D2C"/>
    <w:rsid w:val="7AB95EB1"/>
    <w:rsid w:val="7BC635A1"/>
    <w:rsid w:val="7DDC2A32"/>
    <w:rsid w:val="7F0A6E0D"/>
    <w:rsid w:val="7F17259D"/>
    <w:rsid w:val="7FE229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link w:val="6"/>
    <w:semiHidden/>
    <w:qFormat/>
    <w:uiPriority w:val="0"/>
    <w:rPr>
      <w:sz w:val="18"/>
      <w:szCs w:val="20"/>
    </w:rPr>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customStyle="1" w:styleId="6">
    <w:name w:val="Char Char5"/>
    <w:basedOn w:val="1"/>
    <w:link w:val="5"/>
    <w:qFormat/>
    <w:uiPriority w:val="0"/>
    <w:pPr>
      <w:tabs>
        <w:tab w:val="left" w:pos="1320"/>
      </w:tabs>
      <w:ind w:left="425" w:hanging="425"/>
    </w:pPr>
    <w:rPr>
      <w:sz w:val="18"/>
      <w:szCs w:val="20"/>
    </w:rPr>
  </w:style>
  <w:style w:type="character" w:styleId="7">
    <w:name w:val="page number"/>
    <w:basedOn w:val="5"/>
    <w:qFormat/>
    <w:uiPriority w:val="0"/>
  </w:style>
  <w:style w:type="character" w:styleId="8">
    <w:name w:val="FollowedHyperlink"/>
    <w:basedOn w:val="5"/>
    <w:qFormat/>
    <w:uiPriority w:val="0"/>
    <w:rPr>
      <w:color w:val="000000"/>
      <w:u w:val="none"/>
    </w:rPr>
  </w:style>
  <w:style w:type="character" w:styleId="9">
    <w:name w:val="Hyperlink"/>
    <w:basedOn w:val="5"/>
    <w:qFormat/>
    <w:uiPriority w:val="0"/>
    <w:rPr>
      <w:color w:val="000000"/>
      <w:u w:val="none"/>
    </w:rPr>
  </w:style>
  <w:style w:type="character" w:customStyle="1" w:styleId="11">
    <w:name w:val="black"/>
    <w:basedOn w:val="5"/>
    <w:qFormat/>
    <w:uiPriority w:val="0"/>
    <w:rPr>
      <w:color w:val="000000"/>
      <w:u w:val="single"/>
    </w:rPr>
  </w:style>
  <w:style w:type="character" w:customStyle="1" w:styleId="12">
    <w:name w:val="blue"/>
    <w:basedOn w:val="5"/>
    <w:qFormat/>
    <w:uiPriority w:val="0"/>
    <w:rPr>
      <w:color w:val="173EE8"/>
      <w:u w:val="single"/>
    </w:rPr>
  </w:style>
  <w:style w:type="character" w:customStyle="1" w:styleId="13">
    <w:name w:val="blue-n"/>
    <w:basedOn w:val="5"/>
    <w:qFormat/>
    <w:uiPriority w:val="0"/>
    <w:rPr>
      <w:color w:val="173EE8"/>
      <w:u w:val="none"/>
    </w:rPr>
  </w:style>
  <w:style w:type="character" w:customStyle="1" w:styleId="14">
    <w:name w:val="blue-n1"/>
    <w:basedOn w:val="5"/>
    <w:qFormat/>
    <w:uiPriority w:val="0"/>
    <w:rPr>
      <w:color w:val="000000"/>
      <w:u w:val="single"/>
    </w:rPr>
  </w:style>
  <w:style w:type="character" w:customStyle="1" w:styleId="15">
    <w:name w:val="red-n"/>
    <w:basedOn w:val="5"/>
    <w:qFormat/>
    <w:uiPriority w:val="0"/>
    <w:rPr>
      <w:color w:val="CC0000"/>
      <w:u w:val="none"/>
    </w:rPr>
  </w:style>
  <w:style w:type="character" w:customStyle="1" w:styleId="16">
    <w:name w:val="red-n1"/>
    <w:basedOn w:val="5"/>
    <w:qFormat/>
    <w:uiPriority w:val="0"/>
    <w:rPr>
      <w:color w:val="CC0000"/>
    </w:rPr>
  </w:style>
  <w:style w:type="character" w:customStyle="1" w:styleId="17">
    <w:name w:val="black-n"/>
    <w:basedOn w:val="5"/>
    <w:qFormat/>
    <w:uiPriority w:val="0"/>
    <w:rPr>
      <w:color w:val="000000"/>
      <w:u w:val="none"/>
    </w:rPr>
  </w:style>
  <w:style w:type="character" w:customStyle="1" w:styleId="18">
    <w:name w:val="black-n1"/>
    <w:basedOn w:val="5"/>
    <w:qFormat/>
    <w:uiPriority w:val="0"/>
    <w:rPr>
      <w:color w:val="000000"/>
    </w:rPr>
  </w:style>
  <w:style w:type="character" w:customStyle="1" w:styleId="19">
    <w:name w:val="red"/>
    <w:basedOn w:val="5"/>
    <w:qFormat/>
    <w:uiPriority w:val="0"/>
    <w:rPr>
      <w:color w:val="CC0000"/>
      <w:u w:val="single"/>
    </w:rPr>
  </w:style>
  <w:style w:type="character" w:customStyle="1" w:styleId="20">
    <w:name w:val="red1"/>
    <w:basedOn w:val="5"/>
    <w:qFormat/>
    <w:uiPriority w:val="0"/>
    <w:rPr>
      <w:color w:val="CC0000"/>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2017-09-08T03:14:00Z</dcterms:created>
  <dc:creator>Rico Nie</dc:creator>
  <cp:lastModifiedBy>xizhipeng</cp:lastModifiedBy>
  <dcterms:modified xsi:type="dcterms:W3CDTF">2019-05-05T06:11:03Z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