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0F" w:rsidRDefault="000348D6" w:rsidP="001D0137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证券代码：002438                                    证券简称：江苏神通</w:t>
      </w:r>
    </w:p>
    <w:p w:rsidR="00FA7E0F" w:rsidRDefault="000348D6" w:rsidP="001D013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江苏神通阀门股份有限公司投资者关系活动记录表</w:t>
      </w:r>
    </w:p>
    <w:p w:rsidR="00FA7E0F" w:rsidRDefault="000348D6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编号：2019-00</w:t>
      </w:r>
      <w:r w:rsidR="00277042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FA7E0F"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FA7E0F" w:rsidRDefault="00FA7E0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  <w:vAlign w:val="center"/>
          </w:tcPr>
          <w:p w:rsidR="00FA7E0F" w:rsidRDefault="00277042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</w:rPr>
              <w:fldChar w:fldCharType="begin"/>
            </w: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instrText>eq \o\ac(□,</w:instrText>
            </w:r>
            <w:r>
              <w:rPr>
                <w:rFonts w:ascii="宋体" w:hAnsi="宋体" w:hint="eastAsia"/>
                <w:bCs/>
                <w:iCs/>
                <w:kern w:val="0"/>
                <w:position w:val="2"/>
                <w:sz w:val="16"/>
              </w:rPr>
              <w:instrText>√</w:instrText>
            </w: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instrText>)</w:instrText>
            </w:r>
            <w:r>
              <w:rPr>
                <w:rFonts w:ascii="宋体" w:hAnsi="宋体"/>
                <w:bCs/>
                <w:iCs/>
                <w:kern w:val="0"/>
                <w:sz w:val="24"/>
              </w:rPr>
              <w:fldChar w:fldCharType="end"/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0348D6"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:rsidR="00FA7E0F" w:rsidRDefault="00277042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 w:rsidR="000348D6"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:rsidR="00FA7E0F" w:rsidRDefault="000348D6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:rsidR="00FA7E0F" w:rsidRDefault="000348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</w:p>
          <w:p w:rsidR="00FA7E0F" w:rsidRDefault="00277042" w:rsidP="0027704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>其他</w:t>
            </w:r>
          </w:p>
        </w:tc>
      </w:tr>
      <w:tr w:rsidR="00FA7E0F">
        <w:trPr>
          <w:cantSplit/>
          <w:trHeight w:hRule="exact" w:val="1601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FA7E0F" w:rsidRPr="001D0137" w:rsidRDefault="00277042" w:rsidP="001D0137">
            <w:pPr>
              <w:spacing w:line="48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国盛证券</w:t>
            </w:r>
            <w:r w:rsidR="001D0137"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王磊、杨润思</w:t>
            </w:r>
          </w:p>
          <w:p w:rsidR="001D0137" w:rsidRPr="001D0137" w:rsidRDefault="00277042" w:rsidP="001D0137">
            <w:pPr>
              <w:spacing w:line="48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南方基金</w:t>
            </w:r>
            <w:r w:rsidR="001D0137" w:rsidRPr="001D0137"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姚万宁</w:t>
            </w:r>
          </w:p>
          <w:p w:rsidR="001D0137" w:rsidRDefault="00277042" w:rsidP="001D0137">
            <w:pPr>
              <w:spacing w:line="48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森迪投资</w:t>
            </w:r>
            <w:r w:rsidR="001D0137" w:rsidRPr="001D0137">
              <w:rPr>
                <w:rFonts w:hint="eastAsia"/>
                <w:kern w:val="0"/>
                <w:sz w:val="24"/>
              </w:rPr>
              <w:t>：</w:t>
            </w:r>
            <w:proofErr w:type="gramStart"/>
            <w:r>
              <w:rPr>
                <w:rFonts w:hint="eastAsia"/>
                <w:kern w:val="0"/>
                <w:sz w:val="24"/>
              </w:rPr>
              <w:t>武战利</w:t>
            </w:r>
            <w:proofErr w:type="gramEnd"/>
          </w:p>
        </w:tc>
      </w:tr>
      <w:tr w:rsidR="00FA7E0F">
        <w:trPr>
          <w:cantSplit/>
          <w:trHeight w:hRule="exact" w:val="714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FA7E0F" w:rsidRDefault="000348D6" w:rsidP="002770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2019年</w:t>
            </w:r>
            <w:r w:rsidR="002770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2770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2770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下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午</w:t>
            </w:r>
            <w:r w:rsidR="002770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:00-</w:t>
            </w:r>
            <w:r w:rsidR="002C53D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2770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2770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30</w:t>
            </w:r>
          </w:p>
        </w:tc>
      </w:tr>
      <w:tr w:rsidR="00FA7E0F">
        <w:trPr>
          <w:cantSplit/>
          <w:trHeight w:hRule="exact" w:val="687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FA7E0F" w:rsidRDefault="00277042" w:rsidP="002770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FA7E0F">
        <w:trPr>
          <w:cantSplit/>
          <w:trHeight w:hRule="exact" w:val="2122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277042" w:rsidRDefault="00277042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董事长：吴建新</w:t>
            </w:r>
          </w:p>
          <w:p w:rsidR="00FA7E0F" w:rsidRDefault="000348D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副总裁：章其强</w:t>
            </w:r>
          </w:p>
          <w:p w:rsidR="001D0137" w:rsidRDefault="001D013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证券事务代表：陈鸣迪</w:t>
            </w:r>
          </w:p>
        </w:tc>
      </w:tr>
      <w:tr w:rsidR="00FA7E0F">
        <w:trPr>
          <w:cantSplit/>
          <w:trHeight w:hRule="exact" w:val="1418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:rsidR="00FA7E0F" w:rsidRDefault="00277042" w:rsidP="000C10C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机构投资者就公司生产经营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情况情况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及未来发展规划等进行沟通交流。</w:t>
            </w:r>
          </w:p>
        </w:tc>
      </w:tr>
      <w:tr w:rsidR="00FA7E0F">
        <w:trPr>
          <w:cantSplit/>
          <w:trHeight w:hRule="exact" w:val="808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14" w:type="dxa"/>
            <w:vAlign w:val="center"/>
          </w:tcPr>
          <w:p w:rsidR="00FA7E0F" w:rsidRDefault="000348D6" w:rsidP="001D013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具体内容详见附件：</w:t>
            </w:r>
            <w:r w:rsidR="001D0137" w:rsidRPr="001D013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投资者调研会议记录</w:t>
            </w:r>
          </w:p>
        </w:tc>
      </w:tr>
      <w:tr w:rsidR="00FA7E0F">
        <w:trPr>
          <w:cantSplit/>
          <w:trHeight w:hRule="exact" w:val="691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  <w:vAlign w:val="center"/>
          </w:tcPr>
          <w:p w:rsidR="00FA7E0F" w:rsidRDefault="000348D6" w:rsidP="002770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2019年</w:t>
            </w:r>
            <w:r w:rsidR="002770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2770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FA7E0F" w:rsidRDefault="00FA7E0F"/>
    <w:sectPr w:rsidR="00FA7E0F" w:rsidSect="00FA7E0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F3" w:rsidRDefault="009752F3" w:rsidP="000C10CE">
      <w:r>
        <w:separator/>
      </w:r>
    </w:p>
  </w:endnote>
  <w:endnote w:type="continuationSeparator" w:id="0">
    <w:p w:rsidR="009752F3" w:rsidRDefault="009752F3" w:rsidP="000C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F3" w:rsidRDefault="009752F3" w:rsidP="000C10CE">
      <w:r>
        <w:separator/>
      </w:r>
    </w:p>
  </w:footnote>
  <w:footnote w:type="continuationSeparator" w:id="0">
    <w:p w:rsidR="009752F3" w:rsidRDefault="009752F3" w:rsidP="000C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4C6"/>
    <w:rsid w:val="00006E88"/>
    <w:rsid w:val="00022830"/>
    <w:rsid w:val="000348D6"/>
    <w:rsid w:val="000472E4"/>
    <w:rsid w:val="000608E1"/>
    <w:rsid w:val="00060BF0"/>
    <w:rsid w:val="00067F2F"/>
    <w:rsid w:val="000A496D"/>
    <w:rsid w:val="000B1DDC"/>
    <w:rsid w:val="000C10CE"/>
    <w:rsid w:val="000E0D7E"/>
    <w:rsid w:val="00101E13"/>
    <w:rsid w:val="00142F92"/>
    <w:rsid w:val="0014313A"/>
    <w:rsid w:val="00157DE4"/>
    <w:rsid w:val="001752A1"/>
    <w:rsid w:val="00181F08"/>
    <w:rsid w:val="00197061"/>
    <w:rsid w:val="001B21E7"/>
    <w:rsid w:val="001C0D99"/>
    <w:rsid w:val="001C3E56"/>
    <w:rsid w:val="001D0137"/>
    <w:rsid w:val="001D557D"/>
    <w:rsid w:val="001F50F9"/>
    <w:rsid w:val="00202F9D"/>
    <w:rsid w:val="002047A9"/>
    <w:rsid w:val="00213DEF"/>
    <w:rsid w:val="00224145"/>
    <w:rsid w:val="00243788"/>
    <w:rsid w:val="00275F59"/>
    <w:rsid w:val="00277042"/>
    <w:rsid w:val="002A769B"/>
    <w:rsid w:val="002B7AD1"/>
    <w:rsid w:val="002C53DC"/>
    <w:rsid w:val="00302D76"/>
    <w:rsid w:val="00320645"/>
    <w:rsid w:val="00363A2C"/>
    <w:rsid w:val="003729D8"/>
    <w:rsid w:val="0039300D"/>
    <w:rsid w:val="003A46BD"/>
    <w:rsid w:val="003B078C"/>
    <w:rsid w:val="003C586F"/>
    <w:rsid w:val="003E74D7"/>
    <w:rsid w:val="003F40D4"/>
    <w:rsid w:val="00400FDA"/>
    <w:rsid w:val="00410CD1"/>
    <w:rsid w:val="004136AF"/>
    <w:rsid w:val="0042022B"/>
    <w:rsid w:val="00425A63"/>
    <w:rsid w:val="004323B0"/>
    <w:rsid w:val="00434B35"/>
    <w:rsid w:val="00434C84"/>
    <w:rsid w:val="00464326"/>
    <w:rsid w:val="00481BF3"/>
    <w:rsid w:val="00483A7D"/>
    <w:rsid w:val="004844FA"/>
    <w:rsid w:val="00491AE3"/>
    <w:rsid w:val="00491BE0"/>
    <w:rsid w:val="004B461F"/>
    <w:rsid w:val="004C46ED"/>
    <w:rsid w:val="004C5333"/>
    <w:rsid w:val="004C633A"/>
    <w:rsid w:val="004F64C6"/>
    <w:rsid w:val="005022CD"/>
    <w:rsid w:val="005111B0"/>
    <w:rsid w:val="00523C63"/>
    <w:rsid w:val="00555896"/>
    <w:rsid w:val="00556B00"/>
    <w:rsid w:val="0057612B"/>
    <w:rsid w:val="00583DB0"/>
    <w:rsid w:val="005A4752"/>
    <w:rsid w:val="005C202E"/>
    <w:rsid w:val="005C690F"/>
    <w:rsid w:val="005E4AF4"/>
    <w:rsid w:val="005F0DDC"/>
    <w:rsid w:val="00611E3D"/>
    <w:rsid w:val="00652EFE"/>
    <w:rsid w:val="00655D54"/>
    <w:rsid w:val="00663E77"/>
    <w:rsid w:val="006658F2"/>
    <w:rsid w:val="00666C7B"/>
    <w:rsid w:val="00680954"/>
    <w:rsid w:val="006B0CFF"/>
    <w:rsid w:val="006F0D24"/>
    <w:rsid w:val="00720FD8"/>
    <w:rsid w:val="007301EC"/>
    <w:rsid w:val="00771104"/>
    <w:rsid w:val="00777ADA"/>
    <w:rsid w:val="00782D4F"/>
    <w:rsid w:val="00784284"/>
    <w:rsid w:val="0078448A"/>
    <w:rsid w:val="00790DF2"/>
    <w:rsid w:val="007C0A6D"/>
    <w:rsid w:val="007C1465"/>
    <w:rsid w:val="007C3998"/>
    <w:rsid w:val="00800D6B"/>
    <w:rsid w:val="00804E1F"/>
    <w:rsid w:val="00804E6E"/>
    <w:rsid w:val="00846804"/>
    <w:rsid w:val="00852843"/>
    <w:rsid w:val="008861BE"/>
    <w:rsid w:val="00893E35"/>
    <w:rsid w:val="008A7E7F"/>
    <w:rsid w:val="008C11D5"/>
    <w:rsid w:val="008C5CAD"/>
    <w:rsid w:val="008E1DDC"/>
    <w:rsid w:val="00906B97"/>
    <w:rsid w:val="00933869"/>
    <w:rsid w:val="00937A25"/>
    <w:rsid w:val="00944636"/>
    <w:rsid w:val="00973622"/>
    <w:rsid w:val="009752F3"/>
    <w:rsid w:val="0098368B"/>
    <w:rsid w:val="00997459"/>
    <w:rsid w:val="009A6A36"/>
    <w:rsid w:val="009A7B44"/>
    <w:rsid w:val="009C06CA"/>
    <w:rsid w:val="009C0F73"/>
    <w:rsid w:val="00A00FE0"/>
    <w:rsid w:val="00A05B8D"/>
    <w:rsid w:val="00A106F3"/>
    <w:rsid w:val="00A27DA6"/>
    <w:rsid w:val="00A33ED5"/>
    <w:rsid w:val="00A44193"/>
    <w:rsid w:val="00A45867"/>
    <w:rsid w:val="00A624C5"/>
    <w:rsid w:val="00A84BEF"/>
    <w:rsid w:val="00A9207E"/>
    <w:rsid w:val="00A93DE9"/>
    <w:rsid w:val="00AC58D4"/>
    <w:rsid w:val="00AC6573"/>
    <w:rsid w:val="00AC6E58"/>
    <w:rsid w:val="00AD47CD"/>
    <w:rsid w:val="00AE420C"/>
    <w:rsid w:val="00B20385"/>
    <w:rsid w:val="00B460CD"/>
    <w:rsid w:val="00B65D13"/>
    <w:rsid w:val="00B677BA"/>
    <w:rsid w:val="00B738CC"/>
    <w:rsid w:val="00B805E8"/>
    <w:rsid w:val="00B81841"/>
    <w:rsid w:val="00B8643F"/>
    <w:rsid w:val="00BB35BF"/>
    <w:rsid w:val="00BC49F5"/>
    <w:rsid w:val="00BC6BC5"/>
    <w:rsid w:val="00BE76BB"/>
    <w:rsid w:val="00C22AD8"/>
    <w:rsid w:val="00C26340"/>
    <w:rsid w:val="00C317E6"/>
    <w:rsid w:val="00C3574D"/>
    <w:rsid w:val="00C357E0"/>
    <w:rsid w:val="00C55F18"/>
    <w:rsid w:val="00C56EEA"/>
    <w:rsid w:val="00C83B7F"/>
    <w:rsid w:val="00C86824"/>
    <w:rsid w:val="00C87B0A"/>
    <w:rsid w:val="00CA0768"/>
    <w:rsid w:val="00CA7095"/>
    <w:rsid w:val="00CB7AC8"/>
    <w:rsid w:val="00CC5879"/>
    <w:rsid w:val="00CD4B41"/>
    <w:rsid w:val="00CF5AF4"/>
    <w:rsid w:val="00D23B2F"/>
    <w:rsid w:val="00D23ED8"/>
    <w:rsid w:val="00D25D41"/>
    <w:rsid w:val="00D37035"/>
    <w:rsid w:val="00D4475D"/>
    <w:rsid w:val="00D85D04"/>
    <w:rsid w:val="00D961B2"/>
    <w:rsid w:val="00DA0C54"/>
    <w:rsid w:val="00DC5F53"/>
    <w:rsid w:val="00DC6F0B"/>
    <w:rsid w:val="00DF44DE"/>
    <w:rsid w:val="00E12E56"/>
    <w:rsid w:val="00E35990"/>
    <w:rsid w:val="00E90041"/>
    <w:rsid w:val="00ED3425"/>
    <w:rsid w:val="00EE709E"/>
    <w:rsid w:val="00EF33E3"/>
    <w:rsid w:val="00EF7F0D"/>
    <w:rsid w:val="00F06102"/>
    <w:rsid w:val="00F133AF"/>
    <w:rsid w:val="00F214A8"/>
    <w:rsid w:val="00F21BE4"/>
    <w:rsid w:val="00F57C52"/>
    <w:rsid w:val="00F77F1C"/>
    <w:rsid w:val="00F95796"/>
    <w:rsid w:val="00F96311"/>
    <w:rsid w:val="00FA1742"/>
    <w:rsid w:val="00FA7E0F"/>
    <w:rsid w:val="00FD000C"/>
    <w:rsid w:val="00FD0309"/>
    <w:rsid w:val="00FD3A3F"/>
    <w:rsid w:val="00FD3BD6"/>
    <w:rsid w:val="00FE0293"/>
    <w:rsid w:val="00FE24CA"/>
    <w:rsid w:val="00FE436E"/>
    <w:rsid w:val="00FF0D50"/>
    <w:rsid w:val="173C7D81"/>
    <w:rsid w:val="20FB4C99"/>
    <w:rsid w:val="4F38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FA7E0F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FA7E0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A7E0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A7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A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A7E0F"/>
    <w:rPr>
      <w:sz w:val="21"/>
      <w:szCs w:val="21"/>
    </w:rPr>
  </w:style>
  <w:style w:type="table" w:styleId="a9">
    <w:name w:val="Table Grid"/>
    <w:basedOn w:val="a1"/>
    <w:qFormat/>
    <w:rsid w:val="00FA7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FA7E0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A7E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A7E0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A7E0F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FA7E0F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236</Characters>
  <Application>Microsoft Office Word</Application>
  <DocSecurity>0</DocSecurity>
  <Lines>11</Lines>
  <Paragraphs>10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159</cp:revision>
  <dcterms:created xsi:type="dcterms:W3CDTF">2012-08-09T23:42:00Z</dcterms:created>
  <dcterms:modified xsi:type="dcterms:W3CDTF">2019-05-09T05:20:00Z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