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asciiTheme="minorEastAsia" w:hAnsiTheme="minorEastAsia" w:eastAsiaTheme="minorEastAsia"/>
          <w:bCs/>
          <w:iCs/>
          <w:color w:val="000000"/>
          <w:sz w:val="24"/>
        </w:rPr>
      </w:pPr>
      <w:r>
        <w:rPr>
          <w:rFonts w:hint="eastAsia" w:asciiTheme="minorEastAsia" w:hAnsiTheme="minorEastAsia" w:eastAsiaTheme="minorEastAsia"/>
          <w:bCs/>
          <w:iCs/>
          <w:color w:val="000000"/>
          <w:sz w:val="24"/>
        </w:rPr>
        <w:t>证券代码：002713                                证券简称：东易日盛</w:t>
      </w:r>
    </w:p>
    <w:p>
      <w:pPr>
        <w:spacing w:before="156" w:beforeLines="50" w:after="156" w:afterLines="50" w:line="400" w:lineRule="exact"/>
        <w:jc w:val="center"/>
        <w:rPr>
          <w:rFonts w:asciiTheme="minorEastAsia" w:hAnsiTheme="minorEastAsia" w:eastAsiaTheme="minorEastAsia"/>
          <w:b/>
          <w:bCs/>
          <w:iCs/>
          <w:color w:val="000000"/>
          <w:sz w:val="24"/>
        </w:rPr>
      </w:pPr>
      <w:r>
        <w:rPr>
          <w:rFonts w:hint="eastAsia" w:asciiTheme="minorEastAsia" w:hAnsiTheme="minorEastAsia" w:eastAsiaTheme="minorEastAsia"/>
          <w:b/>
          <w:bCs/>
          <w:iCs/>
          <w:color w:val="000000"/>
          <w:sz w:val="24"/>
        </w:rPr>
        <w:t>东易日盛家居装饰集团股份有限公司</w:t>
      </w:r>
    </w:p>
    <w:p>
      <w:pPr>
        <w:spacing w:before="156" w:beforeLines="50" w:after="156" w:afterLines="50" w:line="400" w:lineRule="exact"/>
        <w:jc w:val="center"/>
        <w:rPr>
          <w:rFonts w:asciiTheme="minorEastAsia" w:hAnsiTheme="minorEastAsia" w:eastAsiaTheme="minorEastAsia"/>
          <w:b/>
          <w:bCs/>
          <w:iCs/>
          <w:color w:val="000000"/>
          <w:sz w:val="24"/>
        </w:rPr>
      </w:pPr>
      <w:r>
        <w:rPr>
          <w:rFonts w:hint="eastAsia" w:asciiTheme="minorEastAsia" w:hAnsiTheme="minorEastAsia" w:eastAsiaTheme="minorEastAsia"/>
          <w:b/>
          <w:bCs/>
          <w:iCs/>
          <w:color w:val="000000"/>
          <w:sz w:val="24"/>
        </w:rPr>
        <w:t>投资者关系活动记录表</w:t>
      </w:r>
    </w:p>
    <w:p>
      <w:pPr>
        <w:spacing w:line="400" w:lineRule="exact"/>
        <w:ind w:firstLine="6840" w:firstLineChars="2850"/>
        <w:rPr>
          <w:rFonts w:asciiTheme="minorEastAsia" w:hAnsiTheme="minorEastAsia" w:eastAsiaTheme="minorEastAsia"/>
          <w:bCs/>
          <w:iCs/>
          <w:color w:val="000000"/>
          <w:sz w:val="24"/>
        </w:rPr>
      </w:pPr>
      <w:r>
        <w:rPr>
          <w:rFonts w:hint="eastAsia" w:asciiTheme="minorEastAsia" w:hAnsiTheme="minorEastAsia" w:eastAsiaTheme="minorEastAsia"/>
          <w:bCs/>
          <w:iCs/>
          <w:color w:val="000000"/>
          <w:sz w:val="24"/>
        </w:rPr>
        <w:t>编号：2019-06</w:t>
      </w:r>
    </w:p>
    <w:tbl>
      <w:tblPr>
        <w:tblStyle w:val="7"/>
        <w:tblW w:w="8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0"/>
        <w:gridCol w:w="6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1950" w:type="dxa"/>
          </w:tcPr>
          <w:p>
            <w:pPr>
              <w:spacing w:line="480" w:lineRule="atLeast"/>
              <w:rPr>
                <w:rFonts w:asciiTheme="minorEastAsia" w:hAnsiTheme="minorEastAsia" w:eastAsiaTheme="minorEastAsia"/>
                <w:b/>
                <w:bCs/>
                <w:iCs/>
                <w:color w:val="000000"/>
                <w:kern w:val="0"/>
                <w:sz w:val="24"/>
              </w:rPr>
            </w:pPr>
            <w:r>
              <w:rPr>
                <w:rFonts w:hint="eastAsia" w:asciiTheme="minorEastAsia" w:hAnsiTheme="minorEastAsia" w:eastAsiaTheme="minorEastAsia"/>
                <w:b/>
                <w:bCs/>
                <w:iCs/>
                <w:color w:val="000000"/>
                <w:kern w:val="0"/>
                <w:sz w:val="24"/>
              </w:rPr>
              <w:t>投资者关系活动类别</w:t>
            </w:r>
          </w:p>
          <w:p>
            <w:pPr>
              <w:spacing w:line="480" w:lineRule="atLeast"/>
              <w:rPr>
                <w:rFonts w:asciiTheme="minorEastAsia" w:hAnsiTheme="minorEastAsia" w:eastAsiaTheme="minorEastAsia"/>
                <w:b/>
                <w:bCs/>
                <w:iCs/>
                <w:color w:val="000000"/>
                <w:kern w:val="0"/>
                <w:sz w:val="24"/>
              </w:rPr>
            </w:pPr>
          </w:p>
        </w:tc>
        <w:tc>
          <w:tcPr>
            <w:tcW w:w="6707" w:type="dxa"/>
          </w:tcPr>
          <w:p>
            <w:pPr>
              <w:spacing w:line="480" w:lineRule="atLeast"/>
              <w:rPr>
                <w:rFonts w:asciiTheme="minorEastAsia" w:hAnsiTheme="minorEastAsia" w:eastAsiaTheme="minorEastAsia"/>
                <w:bCs/>
                <w:iCs/>
                <w:color w:val="000000"/>
                <w:kern w:val="0"/>
                <w:sz w:val="24"/>
              </w:rPr>
            </w:pPr>
            <w:r>
              <w:rPr>
                <w:rFonts w:hint="eastAsia" w:asciiTheme="minorEastAsia" w:hAnsiTheme="minorEastAsia" w:eastAsiaTheme="minorEastAsia"/>
                <w:bCs/>
                <w:iCs/>
                <w:kern w:val="0"/>
                <w:sz w:val="24"/>
              </w:rPr>
              <w:t>√</w:t>
            </w:r>
            <w:r>
              <w:rPr>
                <w:rFonts w:hint="eastAsia" w:asciiTheme="minorEastAsia" w:hAnsiTheme="minorEastAsia" w:eastAsiaTheme="minorEastAsia"/>
                <w:kern w:val="0"/>
                <w:sz w:val="24"/>
              </w:rPr>
              <w:t xml:space="preserve">特定对象调研        </w:t>
            </w:r>
            <w:r>
              <w:rPr>
                <w:rFonts w:hint="eastAsia" w:asciiTheme="minorEastAsia" w:hAnsiTheme="minorEastAsia" w:eastAsiaTheme="minorEastAsia"/>
                <w:bCs/>
                <w:iCs/>
                <w:color w:val="000000"/>
                <w:kern w:val="0"/>
                <w:sz w:val="24"/>
              </w:rPr>
              <w:t>□</w:t>
            </w:r>
            <w:r>
              <w:rPr>
                <w:rFonts w:hint="eastAsia" w:asciiTheme="minorEastAsia" w:hAnsiTheme="minorEastAsia" w:eastAsiaTheme="minorEastAsia"/>
                <w:kern w:val="0"/>
                <w:sz w:val="24"/>
              </w:rPr>
              <w:t>分析师会议</w:t>
            </w:r>
          </w:p>
          <w:p>
            <w:pPr>
              <w:spacing w:line="480" w:lineRule="atLeast"/>
              <w:rPr>
                <w:rFonts w:asciiTheme="minorEastAsia" w:hAnsiTheme="minorEastAsia" w:eastAsiaTheme="minorEastAsia"/>
                <w:bCs/>
                <w:iCs/>
                <w:color w:val="000000"/>
                <w:kern w:val="0"/>
                <w:sz w:val="24"/>
              </w:rPr>
            </w:pPr>
            <w:r>
              <w:rPr>
                <w:rFonts w:hint="eastAsia" w:asciiTheme="minorEastAsia" w:hAnsiTheme="minorEastAsia" w:eastAsiaTheme="minorEastAsia"/>
                <w:bCs/>
                <w:iCs/>
                <w:color w:val="000000"/>
                <w:kern w:val="0"/>
                <w:sz w:val="24"/>
              </w:rPr>
              <w:t>□</w:t>
            </w:r>
            <w:r>
              <w:rPr>
                <w:rFonts w:hint="eastAsia" w:asciiTheme="minorEastAsia" w:hAnsiTheme="minorEastAsia" w:eastAsiaTheme="minorEastAsia"/>
                <w:kern w:val="0"/>
                <w:sz w:val="24"/>
              </w:rPr>
              <w:t xml:space="preserve">媒体采访            </w:t>
            </w:r>
            <w:r>
              <w:rPr>
                <w:rFonts w:hint="eastAsia" w:asciiTheme="minorEastAsia" w:hAnsiTheme="minorEastAsia" w:eastAsiaTheme="minorEastAsia"/>
                <w:bCs/>
                <w:iCs/>
                <w:color w:val="000000"/>
                <w:kern w:val="0"/>
                <w:sz w:val="24"/>
              </w:rPr>
              <w:t>□</w:t>
            </w:r>
            <w:r>
              <w:rPr>
                <w:rFonts w:hint="eastAsia" w:asciiTheme="minorEastAsia" w:hAnsiTheme="minorEastAsia" w:eastAsiaTheme="minorEastAsia"/>
                <w:kern w:val="0"/>
                <w:sz w:val="24"/>
              </w:rPr>
              <w:t>业绩说明会</w:t>
            </w:r>
          </w:p>
          <w:p>
            <w:pPr>
              <w:spacing w:line="480" w:lineRule="atLeast"/>
              <w:rPr>
                <w:rFonts w:asciiTheme="minorEastAsia" w:hAnsiTheme="minorEastAsia" w:eastAsiaTheme="minorEastAsia"/>
                <w:bCs/>
                <w:iCs/>
                <w:color w:val="000000"/>
                <w:kern w:val="0"/>
                <w:sz w:val="24"/>
              </w:rPr>
            </w:pPr>
            <w:r>
              <w:rPr>
                <w:rFonts w:hint="eastAsia" w:asciiTheme="minorEastAsia" w:hAnsiTheme="minorEastAsia" w:eastAsiaTheme="minorEastAsia"/>
                <w:bCs/>
                <w:iCs/>
                <w:color w:val="000000"/>
                <w:kern w:val="0"/>
                <w:sz w:val="24"/>
              </w:rPr>
              <w:t>□</w:t>
            </w:r>
            <w:r>
              <w:rPr>
                <w:rFonts w:hint="eastAsia" w:asciiTheme="minorEastAsia" w:hAnsiTheme="minorEastAsia" w:eastAsiaTheme="minorEastAsia"/>
                <w:kern w:val="0"/>
                <w:sz w:val="24"/>
              </w:rPr>
              <w:t xml:space="preserve">新闻发布会          </w:t>
            </w:r>
            <w:r>
              <w:rPr>
                <w:rFonts w:hint="eastAsia" w:asciiTheme="minorEastAsia" w:hAnsiTheme="minorEastAsia" w:eastAsiaTheme="minorEastAsia"/>
                <w:bCs/>
                <w:iCs/>
                <w:color w:val="000000"/>
                <w:kern w:val="0"/>
                <w:sz w:val="24"/>
              </w:rPr>
              <w:t>□</w:t>
            </w:r>
            <w:r>
              <w:rPr>
                <w:rFonts w:hint="eastAsia" w:asciiTheme="minorEastAsia" w:hAnsiTheme="minorEastAsia" w:eastAsiaTheme="minorEastAsia"/>
                <w:kern w:val="0"/>
                <w:sz w:val="24"/>
              </w:rPr>
              <w:t>路演活动</w:t>
            </w:r>
          </w:p>
          <w:p>
            <w:pPr>
              <w:tabs>
                <w:tab w:val="left" w:pos="3045"/>
                <w:tab w:val="center" w:pos="3199"/>
              </w:tabs>
              <w:spacing w:line="480" w:lineRule="atLeast"/>
              <w:rPr>
                <w:rFonts w:asciiTheme="minorEastAsia" w:hAnsiTheme="minorEastAsia" w:eastAsiaTheme="minorEastAsia"/>
                <w:bCs/>
                <w:iCs/>
                <w:color w:val="000000"/>
                <w:kern w:val="0"/>
                <w:sz w:val="24"/>
              </w:rPr>
            </w:pPr>
            <w:r>
              <w:rPr>
                <w:rFonts w:hint="eastAsia" w:asciiTheme="minorEastAsia" w:hAnsiTheme="minorEastAsia" w:eastAsiaTheme="minorEastAsia"/>
                <w:bCs/>
                <w:iCs/>
                <w:color w:val="000000"/>
                <w:kern w:val="0"/>
                <w:sz w:val="24"/>
              </w:rPr>
              <w:t>□</w:t>
            </w:r>
            <w:r>
              <w:rPr>
                <w:rFonts w:hint="eastAsia" w:asciiTheme="minorEastAsia" w:hAnsiTheme="minorEastAsia" w:eastAsiaTheme="minorEastAsia"/>
                <w:kern w:val="0"/>
                <w:sz w:val="24"/>
              </w:rPr>
              <w:t>现场参观</w:t>
            </w:r>
            <w:r>
              <w:rPr>
                <w:rFonts w:asciiTheme="minorEastAsia" w:hAnsiTheme="minorEastAsia" w:eastAsiaTheme="minorEastAsia"/>
                <w:bCs/>
                <w:iCs/>
                <w:color w:val="000000"/>
                <w:kern w:val="0"/>
                <w:sz w:val="24"/>
              </w:rPr>
              <w:tab/>
            </w:r>
          </w:p>
          <w:p>
            <w:pPr>
              <w:tabs>
                <w:tab w:val="center" w:pos="3199"/>
              </w:tabs>
              <w:spacing w:line="480" w:lineRule="atLeast"/>
              <w:rPr>
                <w:rFonts w:asciiTheme="minorEastAsia" w:hAnsiTheme="minorEastAsia" w:eastAsiaTheme="minorEastAsia"/>
                <w:bCs/>
                <w:iCs/>
                <w:color w:val="000000"/>
                <w:kern w:val="0"/>
                <w:sz w:val="24"/>
              </w:rPr>
            </w:pPr>
            <w:r>
              <w:rPr>
                <w:rFonts w:hint="eastAsia" w:asciiTheme="minorEastAsia" w:hAnsiTheme="minorEastAsia" w:eastAsiaTheme="minorEastAsia"/>
                <w:bCs/>
                <w:iCs/>
                <w:color w:val="000000"/>
                <w:kern w:val="0"/>
                <w:sz w:val="24"/>
              </w:rPr>
              <w:t>□</w:t>
            </w:r>
            <w:r>
              <w:rPr>
                <w:rFonts w:hint="eastAsia" w:asciiTheme="minorEastAsia" w:hAnsiTheme="minorEastAsia" w:eastAsiaTheme="minorEastAsia"/>
                <w:kern w:val="0"/>
                <w:sz w:val="24"/>
              </w:rPr>
              <w:t>其他（电话会议）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1950" w:type="dxa"/>
          </w:tcPr>
          <w:p>
            <w:pPr>
              <w:spacing w:line="276" w:lineRule="auto"/>
              <w:jc w:val="left"/>
              <w:rPr>
                <w:rFonts w:asciiTheme="minorEastAsia" w:hAnsiTheme="minorEastAsia" w:eastAsiaTheme="minorEastAsia"/>
                <w:b/>
                <w:bCs/>
                <w:iCs/>
                <w:color w:val="000000"/>
                <w:kern w:val="0"/>
                <w:sz w:val="24"/>
              </w:rPr>
            </w:pPr>
            <w:r>
              <w:rPr>
                <w:rFonts w:hint="eastAsia" w:asciiTheme="minorEastAsia" w:hAnsiTheme="minorEastAsia" w:eastAsiaTheme="minorEastAsia"/>
                <w:b/>
                <w:bCs/>
                <w:iCs/>
                <w:color w:val="000000"/>
                <w:kern w:val="0"/>
                <w:sz w:val="24"/>
              </w:rPr>
              <w:t>参与单位名称及人员姓名</w:t>
            </w:r>
          </w:p>
        </w:tc>
        <w:tc>
          <w:tcPr>
            <w:tcW w:w="6707" w:type="dxa"/>
            <w:vAlign w:val="bottom"/>
          </w:tcPr>
          <w:p>
            <w:pPr>
              <w:spacing w:line="276" w:lineRule="auto"/>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东吴证券、</w:t>
            </w:r>
            <w:r>
              <w:rPr>
                <w:rFonts w:hint="eastAsia" w:asciiTheme="minorEastAsia" w:hAnsiTheme="minorEastAsia" w:eastAsiaTheme="minorEastAsia" w:cstheme="minorEastAsia"/>
                <w:kern w:val="0"/>
                <w:sz w:val="24"/>
                <w:highlight w:val="none"/>
              </w:rPr>
              <w:t>华夏久盈资产、中欧基金、兴业证券、天风证券、华夏人寿保险、招商基金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1950" w:type="dxa"/>
          </w:tcPr>
          <w:p>
            <w:pPr>
              <w:spacing w:line="360" w:lineRule="auto"/>
              <w:rPr>
                <w:rFonts w:asciiTheme="minorEastAsia" w:hAnsiTheme="minorEastAsia" w:eastAsiaTheme="minorEastAsia"/>
                <w:b/>
                <w:bCs/>
                <w:iCs/>
                <w:color w:val="000000"/>
                <w:kern w:val="0"/>
                <w:sz w:val="24"/>
              </w:rPr>
            </w:pPr>
            <w:r>
              <w:rPr>
                <w:rFonts w:hint="eastAsia" w:asciiTheme="minorEastAsia" w:hAnsiTheme="minorEastAsia" w:eastAsiaTheme="minorEastAsia"/>
                <w:b/>
                <w:bCs/>
                <w:iCs/>
                <w:color w:val="000000"/>
                <w:kern w:val="0"/>
                <w:sz w:val="24"/>
              </w:rPr>
              <w:t>时间</w:t>
            </w:r>
          </w:p>
        </w:tc>
        <w:tc>
          <w:tcPr>
            <w:tcW w:w="6707" w:type="dxa"/>
          </w:tcPr>
          <w:p>
            <w:pPr>
              <w:spacing w:line="360" w:lineRule="auto"/>
              <w:rPr>
                <w:rFonts w:hint="eastAsia" w:asciiTheme="minorEastAsia" w:hAnsiTheme="minorEastAsia" w:eastAsiaTheme="minorEastAsia"/>
                <w:bCs/>
                <w:iCs/>
                <w:color w:val="000000"/>
                <w:kern w:val="0"/>
                <w:sz w:val="24"/>
                <w:lang w:eastAsia="zh-CN"/>
              </w:rPr>
            </w:pPr>
            <w:r>
              <w:rPr>
                <w:rFonts w:hint="eastAsia" w:asciiTheme="minorEastAsia" w:hAnsiTheme="minorEastAsia" w:eastAsiaTheme="minorEastAsia"/>
                <w:bCs/>
                <w:iCs/>
                <w:color w:val="000000"/>
                <w:kern w:val="0"/>
                <w:sz w:val="24"/>
              </w:rPr>
              <w:t>2019.5.1</w:t>
            </w:r>
            <w:r>
              <w:rPr>
                <w:rFonts w:hint="eastAsia" w:asciiTheme="minorEastAsia" w:hAnsiTheme="minorEastAsia" w:eastAsiaTheme="minorEastAsia"/>
                <w:bCs/>
                <w:iCs/>
                <w:color w:val="000000"/>
                <w:kern w:val="0"/>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1950" w:type="dxa"/>
          </w:tcPr>
          <w:p>
            <w:pPr>
              <w:spacing w:line="360" w:lineRule="auto"/>
              <w:rPr>
                <w:rFonts w:asciiTheme="minorEastAsia" w:hAnsiTheme="minorEastAsia" w:eastAsiaTheme="minorEastAsia"/>
                <w:b/>
                <w:bCs/>
                <w:iCs/>
                <w:color w:val="000000"/>
                <w:kern w:val="0"/>
                <w:sz w:val="24"/>
              </w:rPr>
            </w:pPr>
            <w:r>
              <w:rPr>
                <w:rFonts w:hint="eastAsia" w:asciiTheme="minorEastAsia" w:hAnsiTheme="minorEastAsia" w:eastAsiaTheme="minorEastAsia"/>
                <w:b/>
                <w:bCs/>
                <w:iCs/>
                <w:color w:val="000000"/>
                <w:kern w:val="0"/>
                <w:sz w:val="24"/>
              </w:rPr>
              <w:t>地点</w:t>
            </w:r>
          </w:p>
        </w:tc>
        <w:tc>
          <w:tcPr>
            <w:tcW w:w="6707" w:type="dxa"/>
          </w:tcPr>
          <w:p>
            <w:pPr>
              <w:spacing w:line="360" w:lineRule="auto"/>
              <w:rPr>
                <w:rFonts w:asciiTheme="minorEastAsia" w:hAnsiTheme="minorEastAsia" w:eastAsiaTheme="minorEastAsia"/>
                <w:bCs/>
                <w:iCs/>
                <w:color w:val="000000"/>
                <w:kern w:val="0"/>
                <w:sz w:val="24"/>
              </w:rPr>
            </w:pPr>
            <w:r>
              <w:rPr>
                <w:rFonts w:hint="eastAsia" w:asciiTheme="minorEastAsia" w:hAnsiTheme="minorEastAsia" w:eastAsiaTheme="minorEastAsia"/>
                <w:bCs/>
                <w:iCs/>
                <w:color w:val="000000"/>
                <w:kern w:val="0"/>
                <w:sz w:val="24"/>
              </w:rPr>
              <w:t>东易日盛会议室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trPr>
        <w:tc>
          <w:tcPr>
            <w:tcW w:w="1950" w:type="dxa"/>
          </w:tcPr>
          <w:p>
            <w:pPr>
              <w:spacing w:line="276" w:lineRule="auto"/>
              <w:rPr>
                <w:rFonts w:asciiTheme="minorEastAsia" w:hAnsiTheme="minorEastAsia" w:eastAsiaTheme="minorEastAsia"/>
                <w:b/>
                <w:bCs/>
                <w:iCs/>
                <w:color w:val="000000"/>
                <w:kern w:val="0"/>
                <w:sz w:val="24"/>
              </w:rPr>
            </w:pPr>
            <w:r>
              <w:rPr>
                <w:rFonts w:hint="eastAsia" w:asciiTheme="minorEastAsia" w:hAnsiTheme="minorEastAsia" w:eastAsiaTheme="minorEastAsia"/>
                <w:b/>
                <w:bCs/>
                <w:iCs/>
                <w:color w:val="000000"/>
                <w:kern w:val="0"/>
                <w:sz w:val="24"/>
              </w:rPr>
              <w:t>上市公司接待人员姓名</w:t>
            </w:r>
          </w:p>
        </w:tc>
        <w:tc>
          <w:tcPr>
            <w:tcW w:w="6707" w:type="dxa"/>
          </w:tcPr>
          <w:p>
            <w:pPr>
              <w:spacing w:line="600" w:lineRule="auto"/>
              <w:rPr>
                <w:rFonts w:asciiTheme="minorEastAsia" w:hAnsiTheme="minorEastAsia" w:eastAsiaTheme="minorEastAsia"/>
                <w:bCs/>
                <w:iCs/>
                <w:color w:val="000000"/>
                <w:kern w:val="0"/>
                <w:sz w:val="24"/>
              </w:rPr>
            </w:pPr>
            <w:r>
              <w:rPr>
                <w:rFonts w:hint="eastAsia" w:asciiTheme="minorEastAsia" w:hAnsiTheme="minorEastAsia" w:eastAsiaTheme="minorEastAsia"/>
                <w:bCs/>
                <w:iCs/>
                <w:color w:val="000000"/>
                <w:kern w:val="0"/>
                <w:sz w:val="24"/>
              </w:rPr>
              <w:t>董事会秘书 管哲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trPr>
        <w:tc>
          <w:tcPr>
            <w:tcW w:w="1950" w:type="dxa"/>
            <w:vAlign w:val="center"/>
          </w:tcPr>
          <w:p>
            <w:pPr>
              <w:spacing w:line="480" w:lineRule="atLeast"/>
              <w:rPr>
                <w:rFonts w:asciiTheme="minorEastAsia" w:hAnsiTheme="minorEastAsia" w:cstheme="minorEastAsia"/>
                <w:b/>
                <w:kern w:val="0"/>
                <w:sz w:val="24"/>
              </w:rPr>
            </w:pPr>
            <w:r>
              <w:rPr>
                <w:rFonts w:hint="eastAsia" w:asciiTheme="minorEastAsia" w:hAnsiTheme="minorEastAsia" w:cstheme="minorEastAsia"/>
                <w:b/>
                <w:kern w:val="0"/>
                <w:sz w:val="24"/>
              </w:rPr>
              <w:t>投资者关系活</w:t>
            </w:r>
            <w:r>
              <w:rPr>
                <w:rStyle w:val="9"/>
                <w:rFonts w:hint="eastAsia" w:ascii="宋体" w:hAnsi="宋体" w:cs="宋体"/>
                <w:spacing w:val="15"/>
                <w:shd w:val="clear" w:color="auto" w:fill="FFFFFF"/>
              </w:rPr>
              <w:t>动</w:t>
            </w:r>
            <w:r>
              <w:rPr>
                <w:rFonts w:hint="eastAsia" w:asciiTheme="minorEastAsia" w:hAnsiTheme="minorEastAsia" w:cstheme="minorEastAsia"/>
                <w:b/>
                <w:kern w:val="0"/>
                <w:sz w:val="24"/>
              </w:rPr>
              <w:t>主要内容介绍</w:t>
            </w:r>
          </w:p>
          <w:p>
            <w:pPr>
              <w:spacing w:line="480" w:lineRule="atLeast"/>
              <w:rPr>
                <w:rFonts w:asciiTheme="minorEastAsia" w:hAnsiTheme="minorEastAsia" w:cstheme="minorEastAsia"/>
                <w:b/>
                <w:kern w:val="0"/>
                <w:sz w:val="24"/>
              </w:rPr>
            </w:pPr>
          </w:p>
        </w:tc>
        <w:tc>
          <w:tcPr>
            <w:tcW w:w="6707" w:type="dxa"/>
            <w:shd w:val="clear" w:color="auto" w:fill="auto"/>
          </w:tcPr>
          <w:p>
            <w:pPr>
              <w:widowControl/>
              <w:ind w:firstLine="480" w:firstLineChars="200"/>
              <w:jc w:val="left"/>
              <w:rPr>
                <w:rFonts w:asciiTheme="minorEastAsia" w:hAnsiTheme="minorEastAsia" w:eastAsiaTheme="minorEastAsia" w:cstheme="minorEastAsia"/>
                <w:kern w:val="0"/>
                <w:sz w:val="24"/>
              </w:rPr>
            </w:pPr>
            <w:bookmarkStart w:id="0" w:name="8066-1555898527639"/>
            <w:bookmarkEnd w:id="0"/>
          </w:p>
          <w:p>
            <w:pPr>
              <w:widowControl/>
              <w:jc w:val="left"/>
              <w:rPr>
                <w:rFonts w:hint="eastAsia" w:asciiTheme="minorEastAsia" w:hAnsiTheme="minorEastAsia" w:eastAsiaTheme="minorEastAsia" w:cstheme="minorEastAsia"/>
                <w:b/>
                <w:kern w:val="0"/>
                <w:sz w:val="24"/>
                <w:highlight w:val="none"/>
                <w:lang w:val="zh-CN"/>
              </w:rPr>
            </w:pPr>
            <w:r>
              <w:rPr>
                <w:rFonts w:hint="eastAsia" w:asciiTheme="minorEastAsia" w:hAnsiTheme="minorEastAsia" w:eastAsiaTheme="minorEastAsia" w:cstheme="minorEastAsia"/>
                <w:b/>
                <w:kern w:val="0"/>
                <w:sz w:val="24"/>
                <w:highlight w:val="none"/>
                <w:lang w:val="en-US" w:eastAsia="zh-CN"/>
              </w:rPr>
              <w:t>1</w:t>
            </w:r>
            <w:r>
              <w:rPr>
                <w:rFonts w:hint="eastAsia" w:asciiTheme="minorEastAsia" w:hAnsiTheme="minorEastAsia" w:eastAsiaTheme="minorEastAsia" w:cstheme="minorEastAsia"/>
                <w:b/>
                <w:kern w:val="0"/>
                <w:sz w:val="24"/>
                <w:highlight w:val="none"/>
                <w:lang w:val="zh-CN"/>
              </w:rPr>
              <w:t>、目前公司家装业务的结构有哪些变化？ 存量房和增量房占比情况如何？</w:t>
            </w:r>
          </w:p>
          <w:p>
            <w:pPr>
              <w:autoSpaceDE w:val="0"/>
              <w:autoSpaceDN w:val="0"/>
              <w:adjustRightInd w:val="0"/>
              <w:jc w:val="left"/>
              <w:rPr>
                <w:rFonts w:hint="eastAsia"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答：随着精装房比例的逐步提升，存量房已逐渐成为中国家装市场主要组成部分，市场空间广阔并逐年提升，公司自身的数据也说明了这一点，2018年公司A6业务整体存量房占比已经超过了50%，北京、上海两地存量房业务的占比均已超过60%，未来公司在一二线城市的拓展布局将偏重存量房，争取存量房市场机会，在三四线城市还具有大量增量房的市场机会。</w:t>
            </w:r>
          </w:p>
          <w:p>
            <w:pPr>
              <w:widowControl/>
              <w:shd w:val="clear" w:color="auto" w:fill="FFFFFF"/>
              <w:spacing w:line="408" w:lineRule="atLeast"/>
              <w:rPr>
                <w:rFonts w:asciiTheme="minorEastAsia" w:hAnsiTheme="minorEastAsia" w:eastAsiaTheme="minorEastAsia" w:cstheme="minorEastAsia"/>
                <w:kern w:val="0"/>
                <w:sz w:val="24"/>
                <w:lang w:val="zh-CN"/>
              </w:rPr>
            </w:pPr>
          </w:p>
          <w:p>
            <w:pPr>
              <w:widowControl/>
              <w:jc w:val="left"/>
              <w:rPr>
                <w:rFonts w:hint="eastAsia" w:asciiTheme="minorEastAsia" w:hAnsiTheme="minorEastAsia" w:eastAsiaTheme="minorEastAsia" w:cstheme="minorEastAsia"/>
                <w:b/>
                <w:kern w:val="0"/>
                <w:sz w:val="24"/>
                <w:highlight w:val="none"/>
              </w:rPr>
            </w:pPr>
            <w:r>
              <w:rPr>
                <w:rFonts w:hint="eastAsia" w:asciiTheme="minorEastAsia" w:hAnsiTheme="minorEastAsia" w:eastAsiaTheme="minorEastAsia" w:cstheme="minorEastAsia"/>
                <w:b/>
                <w:kern w:val="0"/>
                <w:sz w:val="24"/>
                <w:highlight w:val="none"/>
                <w:lang w:val="en-US" w:eastAsia="zh-CN"/>
              </w:rPr>
              <w:t>2、</w:t>
            </w:r>
            <w:r>
              <w:rPr>
                <w:rFonts w:hint="eastAsia" w:asciiTheme="minorEastAsia" w:hAnsiTheme="minorEastAsia" w:eastAsiaTheme="minorEastAsia" w:cstheme="minorEastAsia"/>
                <w:b/>
                <w:kern w:val="0"/>
                <w:sz w:val="24"/>
                <w:highlight w:val="none"/>
              </w:rPr>
              <w:t>公司A6业务及速美18年客单价是多少？未来是否还有进一步提升的空间？</w:t>
            </w:r>
          </w:p>
          <w:p>
            <w:pPr>
              <w:autoSpaceDE w:val="0"/>
              <w:autoSpaceDN w:val="0"/>
              <w:adjustRightInd w:val="0"/>
              <w:jc w:val="left"/>
              <w:rPr>
                <w:rFonts w:hint="eastAsia" w:asciiTheme="minorEastAsia" w:hAnsiTheme="minorEastAsia" w:eastAsiaTheme="minorEastAsia" w:cstheme="minorEastAsia"/>
                <w:kern w:val="0"/>
                <w:sz w:val="24"/>
              </w:rPr>
            </w:pPr>
            <w:bookmarkStart w:id="1" w:name="9380-1555901641117"/>
            <w:bookmarkEnd w:id="1"/>
            <w:r>
              <w:rPr>
                <w:rFonts w:hint="eastAsia" w:asciiTheme="minorEastAsia" w:hAnsiTheme="minorEastAsia" w:eastAsiaTheme="minorEastAsia" w:cstheme="minorEastAsia"/>
                <w:kern w:val="0"/>
                <w:sz w:val="24"/>
              </w:rPr>
              <w:t>答： A6业务近几年客单价每年都在逐步提升，2018年A6业务平均客单价为31万，主要是一线城市及业务成熟的城市消费升级带来的配套产品比率逐年提高，另外公司的考核导向也会推动客单价不断提升。</w:t>
            </w:r>
          </w:p>
          <w:p>
            <w:pPr>
              <w:autoSpaceDE w:val="0"/>
              <w:autoSpaceDN w:val="0"/>
              <w:adjustRightInd w:val="0"/>
              <w:ind w:firstLine="480" w:firstLineChars="200"/>
              <w:jc w:val="left"/>
              <w:rPr>
                <w:rFonts w:hint="eastAsia"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2018年速美业务主要为899和1299套餐，客单价12万左右。2019年会推出1699套餐，速美业务是新业务，随着新套餐产品的上市、软装配套产品的逐步丰富以及客户整装需求的逐渐明确，客单价会进一步提升。</w:t>
            </w:r>
          </w:p>
          <w:p>
            <w:pPr>
              <w:widowControl/>
              <w:shd w:val="clear" w:color="auto" w:fill="FFFFFF"/>
              <w:spacing w:line="408" w:lineRule="atLeast"/>
              <w:rPr>
                <w:rFonts w:asciiTheme="minorEastAsia" w:hAnsiTheme="minorEastAsia" w:eastAsiaTheme="minorEastAsia" w:cstheme="minorEastAsia"/>
                <w:kern w:val="0"/>
                <w:sz w:val="24"/>
              </w:rPr>
            </w:pPr>
          </w:p>
          <w:p>
            <w:pPr>
              <w:widowControl/>
              <w:jc w:val="left"/>
              <w:rPr>
                <w:rFonts w:asciiTheme="minorEastAsia" w:hAnsiTheme="minorEastAsia" w:eastAsiaTheme="minorEastAsia" w:cstheme="minorEastAsia"/>
                <w:b/>
                <w:kern w:val="0"/>
                <w:sz w:val="24"/>
                <w:highlight w:val="none"/>
              </w:rPr>
            </w:pPr>
            <w:r>
              <w:rPr>
                <w:rFonts w:hint="eastAsia" w:asciiTheme="minorEastAsia" w:hAnsiTheme="minorEastAsia" w:eastAsiaTheme="minorEastAsia" w:cstheme="minorEastAsia"/>
                <w:b/>
                <w:kern w:val="0"/>
                <w:sz w:val="24"/>
                <w:highlight w:val="none"/>
              </w:rPr>
              <w:t>3、我们看到精工装业务的增长幅度较大，目前的进展情况及新年规划？</w:t>
            </w:r>
          </w:p>
          <w:p>
            <w:pPr>
              <w:autoSpaceDE w:val="0"/>
              <w:autoSpaceDN w:val="0"/>
              <w:adjustRightInd w:val="0"/>
              <w:jc w:val="left"/>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答：2018年，精装业务对装配式装修和DIM+系统进行了深度开发和研究，完善了住宅、医院、酒店和办公的应用场景开发，初步建立了整套数字化装饰建设体系。完成的钢结构装配式项目首钢示范小区被评为三星级绿色建筑、住宅产业化试点工程，在国内具有里程碑意义。</w:t>
            </w:r>
          </w:p>
          <w:p>
            <w:pPr>
              <w:autoSpaceDE w:val="0"/>
              <w:autoSpaceDN w:val="0"/>
              <w:adjustRightInd w:val="0"/>
              <w:ind w:firstLine="480" w:firstLineChars="200"/>
              <w:jc w:val="left"/>
              <w:rPr>
                <w:rFonts w:asciiTheme="minorEastAsia" w:hAnsiTheme="minorEastAsia" w:eastAsiaTheme="minorEastAsia" w:cstheme="minorEastAsia"/>
                <w:kern w:val="0"/>
                <w:sz w:val="24"/>
              </w:rPr>
            </w:pPr>
            <w:bookmarkStart w:id="2" w:name="_GoBack"/>
            <w:bookmarkEnd w:id="2"/>
            <w:r>
              <w:rPr>
                <w:rFonts w:hint="eastAsia" w:asciiTheme="minorEastAsia" w:hAnsiTheme="minorEastAsia" w:eastAsiaTheme="minorEastAsia" w:cstheme="minorEastAsia"/>
                <w:kern w:val="0"/>
                <w:sz w:val="24"/>
              </w:rPr>
              <w:t>另外，定制精装模式的业务正在开展，根据政府扩大全装修房交付比例的政策要求及买房客户的多元化需求，房企与有TOC交付能力的产品化家装公司合作是未来趋势，所以定制精装模式也是未来重要的市场机会，有利于公司进一步扩大市场规模。</w:t>
            </w:r>
          </w:p>
          <w:p>
            <w:pPr>
              <w:widowControl/>
              <w:shd w:val="clear" w:color="auto" w:fill="FFFFFF"/>
              <w:spacing w:line="408" w:lineRule="atLeast"/>
              <w:rPr>
                <w:rFonts w:asciiTheme="minorEastAsia" w:hAnsiTheme="minorEastAsia" w:eastAsiaTheme="minorEastAsia" w:cstheme="minorEastAsia"/>
                <w:kern w:val="0"/>
                <w:sz w:val="24"/>
              </w:rPr>
            </w:pPr>
          </w:p>
          <w:p>
            <w:pPr>
              <w:widowControl/>
              <w:jc w:val="left"/>
              <w:rPr>
                <w:rFonts w:hint="eastAsia" w:asciiTheme="minorEastAsia" w:hAnsiTheme="minorEastAsia" w:eastAsiaTheme="minorEastAsia" w:cstheme="minorEastAsia"/>
                <w:b/>
                <w:kern w:val="0"/>
                <w:sz w:val="24"/>
                <w:highlight w:val="none"/>
              </w:rPr>
            </w:pPr>
            <w:r>
              <w:rPr>
                <w:rFonts w:hint="eastAsia" w:asciiTheme="minorEastAsia" w:hAnsiTheme="minorEastAsia" w:eastAsiaTheme="minorEastAsia" w:cstheme="minorEastAsia"/>
                <w:b/>
                <w:kern w:val="0"/>
                <w:sz w:val="24"/>
                <w:highlight w:val="none"/>
                <w:lang w:val="en-US" w:eastAsia="zh-CN"/>
              </w:rPr>
              <w:t>4、</w:t>
            </w:r>
            <w:r>
              <w:rPr>
                <w:rFonts w:hint="eastAsia" w:asciiTheme="minorEastAsia" w:hAnsiTheme="minorEastAsia" w:eastAsiaTheme="minorEastAsia" w:cstheme="minorEastAsia"/>
                <w:b/>
                <w:kern w:val="0"/>
                <w:sz w:val="24"/>
                <w:highlight w:val="none"/>
              </w:rPr>
              <w:t>公司智能供需链业务的进展及规划？</w:t>
            </w:r>
          </w:p>
          <w:p>
            <w:pPr>
              <w:autoSpaceDE w:val="0"/>
              <w:autoSpaceDN w:val="0"/>
              <w:adjustRightInd w:val="0"/>
              <w:jc w:val="left"/>
              <w:rPr>
                <w:rFonts w:hint="eastAsia"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rPr>
              <w:t>答：</w:t>
            </w:r>
            <w:r>
              <w:rPr>
                <w:rFonts w:hint="eastAsia" w:asciiTheme="minorEastAsia" w:hAnsiTheme="minorEastAsia" w:eastAsiaTheme="minorEastAsia" w:cstheme="minorEastAsia"/>
                <w:kern w:val="0"/>
                <w:sz w:val="24"/>
                <w:lang w:val="zh-CN"/>
              </w:rPr>
              <w:t>易日通业务是公司面向泛家居领域搭建的仓储、配送、安装平台，目前完成的5个仓储物流城市的行业云仓、干线物流班车、送装一体化全国48小时上门及48小时完工等服务，均已实现稳定的效率。</w:t>
            </w:r>
            <w:r>
              <w:rPr>
                <w:rFonts w:hint="eastAsia" w:asciiTheme="minorEastAsia" w:hAnsiTheme="minorEastAsia" w:eastAsiaTheme="minorEastAsia" w:cstheme="minorEastAsia"/>
                <w:kern w:val="0"/>
                <w:sz w:val="24"/>
              </w:rPr>
              <w:t>未来也会</w:t>
            </w:r>
            <w:r>
              <w:rPr>
                <w:rFonts w:hint="eastAsia" w:asciiTheme="minorEastAsia" w:hAnsiTheme="minorEastAsia" w:eastAsiaTheme="minorEastAsia" w:cstheme="minorEastAsia"/>
                <w:kern w:val="0"/>
                <w:sz w:val="24"/>
                <w:lang w:val="zh-CN"/>
              </w:rPr>
              <w:t>持续加大信息化投入，实现仓储、安装、配送应用及管理信息化的升级，不断帮助客户提升货物周转率，助力提升生产销售的经营效率；不断升级木作安装一体化工人能力，以客户价值为核心提升智能供需链的行业价值。</w:t>
            </w:r>
          </w:p>
          <w:p>
            <w:pPr>
              <w:widowControl/>
              <w:jc w:val="left"/>
              <w:rPr>
                <w:rFonts w:hint="eastAsia" w:asciiTheme="minorEastAsia" w:hAnsiTheme="minorEastAsia" w:eastAsiaTheme="minorEastAsia" w:cstheme="minorEastAsia"/>
                <w:b/>
                <w:kern w:val="0"/>
                <w:sz w:val="24"/>
                <w:highlight w:val="none"/>
                <w:lang w:val="en-US" w:eastAsia="zh-CN"/>
              </w:rPr>
            </w:pPr>
          </w:p>
          <w:p>
            <w:pPr>
              <w:widowControl/>
              <w:jc w:val="left"/>
              <w:rPr>
                <w:rFonts w:hint="eastAsia" w:asciiTheme="minorEastAsia" w:hAnsiTheme="minorEastAsia" w:eastAsiaTheme="minorEastAsia" w:cstheme="minorEastAsia"/>
                <w:b/>
                <w:kern w:val="0"/>
                <w:sz w:val="24"/>
                <w:highlight w:val="none"/>
              </w:rPr>
            </w:pPr>
            <w:r>
              <w:rPr>
                <w:rFonts w:hint="eastAsia" w:asciiTheme="minorEastAsia" w:hAnsiTheme="minorEastAsia" w:eastAsiaTheme="minorEastAsia" w:cstheme="minorEastAsia"/>
                <w:b/>
                <w:kern w:val="0"/>
                <w:sz w:val="24"/>
                <w:highlight w:val="none"/>
                <w:lang w:val="en-US" w:eastAsia="zh-CN"/>
              </w:rPr>
              <w:t>5、</w:t>
            </w:r>
            <w:r>
              <w:rPr>
                <w:rFonts w:hint="eastAsia" w:asciiTheme="minorEastAsia" w:hAnsiTheme="minorEastAsia" w:eastAsiaTheme="minorEastAsia" w:cstheme="minorEastAsia"/>
                <w:b/>
                <w:kern w:val="0"/>
                <w:sz w:val="24"/>
                <w:highlight w:val="none"/>
              </w:rPr>
              <w:t>定制家居企业和其他行业向家装行业渗透，公司如何看待？</w:t>
            </w:r>
          </w:p>
          <w:p>
            <w:pPr>
              <w:autoSpaceDE w:val="0"/>
              <w:autoSpaceDN w:val="0"/>
              <w:adjustRightInd w:val="0"/>
              <w:jc w:val="left"/>
              <w:rPr>
                <w:rFonts w:hint="eastAsia"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答：定制是公司整个系列服务链条中的一部分服务，东易日盛具有从家装设计、施工、主材和木作配套全产业链开展业务的能力，多年一直在家装领域深耕，有着完备的高技术化、全信息化、数字化的中后台体系，而且因为多年来公司自身有着家装业务的场景，可以根据业务需求和客户实际需求不断的对我们的数字化体系进行推动和迭代，相比于其他行业进入家装领域的竞争对手具备明显优势。</w:t>
            </w:r>
          </w:p>
          <w:p>
            <w:pPr>
              <w:autoSpaceDE w:val="0"/>
              <w:autoSpaceDN w:val="0"/>
              <w:adjustRightInd w:val="0"/>
              <w:ind w:firstLine="480" w:firstLineChars="200"/>
              <w:jc w:val="left"/>
              <w:rPr>
                <w:rFonts w:hint="eastAsia" w:asciiTheme="minorEastAsia" w:hAnsiTheme="minorEastAsia" w:eastAsiaTheme="minorEastAsia" w:cstheme="minorEastAsia"/>
                <w:kern w:val="0"/>
                <w:sz w:val="24"/>
                <w:lang w:val="zh-CN"/>
              </w:rPr>
            </w:pPr>
            <w:r>
              <w:rPr>
                <w:rFonts w:hint="eastAsia" w:asciiTheme="minorEastAsia" w:hAnsiTheme="minorEastAsia" w:eastAsiaTheme="minorEastAsia" w:cstheme="minorEastAsia"/>
                <w:kern w:val="0"/>
                <w:sz w:val="24"/>
                <w:lang w:val="zh-CN"/>
              </w:rPr>
              <w:t>另外，公司主业是面对C端客户的家装业务，一直深入研究客户，把家庭生活方式嫁接在生产的产品上，客户选择设计、基础工程、配套产品时都选择东易可以兼顾装修的整体效果和风格匹配；公司自有工厂的产品由同一研发团队开发完成，所有产品可以做到同风格、同材质、同色彩、同工艺质量标准；而且公司所有辅材、主材、木作产品都采用了高环保标准，做到全屋累加环保，现在市场上消费者对健康环保的要求越来越高，公司的高标准环保产品也增加了东易日盛的客户粘性。</w:t>
            </w:r>
          </w:p>
          <w:p>
            <w:pPr>
              <w:widowControl/>
              <w:jc w:val="left"/>
              <w:rPr>
                <w:rFonts w:asciiTheme="minorEastAsia" w:hAnsiTheme="minorEastAsia" w:eastAsiaTheme="minorEastAsia" w:cstheme="minorEastAsia"/>
                <w:b/>
                <w:kern w:val="0"/>
                <w:sz w:val="24"/>
              </w:rPr>
            </w:pPr>
          </w:p>
          <w:p>
            <w:pPr>
              <w:autoSpaceDE w:val="0"/>
              <w:autoSpaceDN w:val="0"/>
              <w:adjustRightInd w:val="0"/>
              <w:jc w:val="left"/>
              <w:rPr>
                <w:rFonts w:ascii="宋体" w:hAnsi="宋体" w:cs="宋体"/>
                <w:color w:val="333333"/>
                <w:spacing w:val="15"/>
                <w:kern w:val="0"/>
                <w:sz w:val="24"/>
                <w:shd w:val="clear" w:color="auto" w:fill="FFFFFF"/>
              </w:rPr>
            </w:pPr>
          </w:p>
          <w:p>
            <w:pPr>
              <w:autoSpaceDE w:val="0"/>
              <w:autoSpaceDN w:val="0"/>
              <w:adjustRightInd w:val="0"/>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各位投资者如欲了解公司及子公司最新动态可关注如下微信：东易日盛集团微信公众号“DYRSJZ”或可拨打东易日盛证券部投资者专线，电话：010-58637710。</w:t>
            </w:r>
          </w:p>
          <w:p>
            <w:pPr>
              <w:autoSpaceDE w:val="0"/>
              <w:autoSpaceDN w:val="0"/>
              <w:adjustRightInd w:val="0"/>
              <w:ind w:firstLine="482" w:firstLineChars="200"/>
              <w:jc w:val="left"/>
              <w:rPr>
                <w:rFonts w:ascii="宋体" w:hAnsi="宋体" w:cs="宋体"/>
                <w:color w:val="333333"/>
                <w:spacing w:val="15"/>
                <w:kern w:val="0"/>
                <w:sz w:val="24"/>
                <w:shd w:val="clear" w:color="auto" w:fill="FFFFFF"/>
              </w:rPr>
            </w:pPr>
            <w:r>
              <w:rPr>
                <w:rFonts w:hint="eastAsia" w:asciiTheme="minorEastAsia" w:hAnsiTheme="minorEastAsia" w:eastAsiaTheme="minorEastAsia" w:cstheme="minorEastAsia"/>
                <w:b/>
                <w:kern w:val="0"/>
                <w:sz w:val="24"/>
              </w:rPr>
              <w:t>接待过程中，公司与投资者进行了充分的交流与沟通，并严格按照公司《信息披露管理制度》等规定，没有出现未公开重大信息泄露等情况，同时参会人员已按深圳证券交易所要求签署调研《承诺书》。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1950" w:type="dxa"/>
            <w:vAlign w:val="center"/>
          </w:tcPr>
          <w:p>
            <w:pPr>
              <w:spacing w:line="360" w:lineRule="auto"/>
              <w:rPr>
                <w:rFonts w:asciiTheme="minorEastAsia" w:hAnsiTheme="minorEastAsia" w:eastAsiaTheme="minorEastAsia"/>
                <w:b/>
                <w:bCs/>
                <w:iCs/>
                <w:color w:val="000000"/>
                <w:kern w:val="0"/>
                <w:sz w:val="24"/>
              </w:rPr>
            </w:pPr>
            <w:r>
              <w:rPr>
                <w:rFonts w:hint="eastAsia" w:asciiTheme="minorEastAsia" w:hAnsiTheme="minorEastAsia" w:eastAsiaTheme="minorEastAsia"/>
                <w:b/>
                <w:bCs/>
                <w:iCs/>
                <w:color w:val="000000"/>
                <w:kern w:val="0"/>
                <w:sz w:val="24"/>
              </w:rPr>
              <w:t>附件清单（如有）</w:t>
            </w:r>
          </w:p>
        </w:tc>
        <w:tc>
          <w:tcPr>
            <w:tcW w:w="6707" w:type="dxa"/>
          </w:tcPr>
          <w:p>
            <w:pPr>
              <w:spacing w:line="276" w:lineRule="auto"/>
              <w:rPr>
                <w:rFonts w:asciiTheme="minorEastAsia" w:hAnsiTheme="minorEastAsia" w:eastAsiaTheme="minorEastAsia"/>
                <w:bCs/>
                <w:i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trPr>
        <w:tc>
          <w:tcPr>
            <w:tcW w:w="1950" w:type="dxa"/>
            <w:vAlign w:val="center"/>
          </w:tcPr>
          <w:p>
            <w:pPr>
              <w:spacing w:line="360" w:lineRule="auto"/>
              <w:rPr>
                <w:rFonts w:asciiTheme="minorEastAsia" w:hAnsiTheme="minorEastAsia" w:eastAsiaTheme="minorEastAsia"/>
                <w:b/>
                <w:bCs/>
                <w:iCs/>
                <w:color w:val="000000"/>
                <w:kern w:val="0"/>
                <w:sz w:val="24"/>
              </w:rPr>
            </w:pPr>
            <w:r>
              <w:rPr>
                <w:rFonts w:hint="eastAsia" w:asciiTheme="minorEastAsia" w:hAnsiTheme="minorEastAsia" w:eastAsiaTheme="minorEastAsia"/>
                <w:b/>
                <w:bCs/>
                <w:iCs/>
                <w:color w:val="000000"/>
                <w:kern w:val="0"/>
                <w:sz w:val="24"/>
              </w:rPr>
              <w:t>日期</w:t>
            </w:r>
          </w:p>
        </w:tc>
        <w:tc>
          <w:tcPr>
            <w:tcW w:w="6707" w:type="dxa"/>
          </w:tcPr>
          <w:p>
            <w:pPr>
              <w:spacing w:line="276" w:lineRule="auto"/>
              <w:rPr>
                <w:rFonts w:asciiTheme="minorEastAsia" w:hAnsiTheme="minorEastAsia" w:eastAsiaTheme="minorEastAsia"/>
                <w:bCs/>
                <w:iCs/>
                <w:color w:val="000000"/>
                <w:kern w:val="0"/>
                <w:sz w:val="24"/>
              </w:rPr>
            </w:pPr>
            <w:r>
              <w:rPr>
                <w:rFonts w:asciiTheme="minorEastAsia" w:hAnsiTheme="minorEastAsia" w:eastAsiaTheme="minorEastAsia"/>
                <w:bCs/>
                <w:iCs/>
                <w:color w:val="000000"/>
                <w:kern w:val="0"/>
                <w:sz w:val="24"/>
              </w:rPr>
              <w:t>201</w:t>
            </w:r>
            <w:r>
              <w:rPr>
                <w:rFonts w:hint="eastAsia" w:asciiTheme="minorEastAsia" w:hAnsiTheme="minorEastAsia" w:eastAsiaTheme="minorEastAsia"/>
                <w:bCs/>
                <w:iCs/>
                <w:color w:val="000000"/>
                <w:kern w:val="0"/>
                <w:sz w:val="24"/>
              </w:rPr>
              <w:t>9年5月1</w:t>
            </w:r>
            <w:r>
              <w:rPr>
                <w:rFonts w:hint="eastAsia" w:asciiTheme="minorEastAsia" w:hAnsiTheme="minorEastAsia" w:eastAsiaTheme="minorEastAsia"/>
                <w:bCs/>
                <w:iCs/>
                <w:color w:val="000000"/>
                <w:kern w:val="0"/>
                <w:sz w:val="24"/>
                <w:lang w:val="en-US" w:eastAsia="zh-CN"/>
              </w:rPr>
              <w:t>0</w:t>
            </w:r>
            <w:r>
              <w:rPr>
                <w:rFonts w:hint="eastAsia" w:asciiTheme="minorEastAsia" w:hAnsiTheme="minorEastAsia" w:eastAsiaTheme="minorEastAsia"/>
                <w:bCs/>
                <w:iCs/>
                <w:color w:val="000000"/>
                <w:kern w:val="0"/>
                <w:sz w:val="24"/>
              </w:rPr>
              <w:t>日</w:t>
            </w:r>
          </w:p>
        </w:tc>
      </w:tr>
    </w:tbl>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1</w:t>
    </w:r>
    <w:r>
      <w:rPr>
        <w:rStyle w:val="10"/>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26490"/>
    <w:rsid w:val="00002C60"/>
    <w:rsid w:val="00004776"/>
    <w:rsid w:val="00004D7B"/>
    <w:rsid w:val="000079AE"/>
    <w:rsid w:val="00012F75"/>
    <w:rsid w:val="000209BC"/>
    <w:rsid w:val="000237EC"/>
    <w:rsid w:val="0002500B"/>
    <w:rsid w:val="000318CC"/>
    <w:rsid w:val="000360F1"/>
    <w:rsid w:val="00046D62"/>
    <w:rsid w:val="0005203C"/>
    <w:rsid w:val="00062569"/>
    <w:rsid w:val="00066865"/>
    <w:rsid w:val="00072651"/>
    <w:rsid w:val="00080CEC"/>
    <w:rsid w:val="00081F79"/>
    <w:rsid w:val="00082B4F"/>
    <w:rsid w:val="00083C3B"/>
    <w:rsid w:val="00090926"/>
    <w:rsid w:val="00090E9B"/>
    <w:rsid w:val="000911C6"/>
    <w:rsid w:val="000944E9"/>
    <w:rsid w:val="00097633"/>
    <w:rsid w:val="000A4E39"/>
    <w:rsid w:val="000B1943"/>
    <w:rsid w:val="000B2E5D"/>
    <w:rsid w:val="000B3908"/>
    <w:rsid w:val="000C016E"/>
    <w:rsid w:val="000C3767"/>
    <w:rsid w:val="000C5A3D"/>
    <w:rsid w:val="000C7C11"/>
    <w:rsid w:val="000D1C79"/>
    <w:rsid w:val="000E0C4C"/>
    <w:rsid w:val="000E4DAE"/>
    <w:rsid w:val="000F2B40"/>
    <w:rsid w:val="000F53BE"/>
    <w:rsid w:val="00107301"/>
    <w:rsid w:val="00116715"/>
    <w:rsid w:val="00126428"/>
    <w:rsid w:val="00130A44"/>
    <w:rsid w:val="00131FDC"/>
    <w:rsid w:val="00142A80"/>
    <w:rsid w:val="00145828"/>
    <w:rsid w:val="00154F1C"/>
    <w:rsid w:val="00157383"/>
    <w:rsid w:val="00160761"/>
    <w:rsid w:val="00166A34"/>
    <w:rsid w:val="0017404C"/>
    <w:rsid w:val="0019178E"/>
    <w:rsid w:val="00191D23"/>
    <w:rsid w:val="00192F75"/>
    <w:rsid w:val="00193EA2"/>
    <w:rsid w:val="00194C08"/>
    <w:rsid w:val="001957E3"/>
    <w:rsid w:val="001A2713"/>
    <w:rsid w:val="001A58A6"/>
    <w:rsid w:val="001B002E"/>
    <w:rsid w:val="001B3E84"/>
    <w:rsid w:val="001B479A"/>
    <w:rsid w:val="001B606B"/>
    <w:rsid w:val="001C1A87"/>
    <w:rsid w:val="001C2B8D"/>
    <w:rsid w:val="001C51DB"/>
    <w:rsid w:val="001D115C"/>
    <w:rsid w:val="001D1E20"/>
    <w:rsid w:val="001D21E9"/>
    <w:rsid w:val="001E7204"/>
    <w:rsid w:val="00206421"/>
    <w:rsid w:val="002151C7"/>
    <w:rsid w:val="0022570E"/>
    <w:rsid w:val="00233F0C"/>
    <w:rsid w:val="0023711B"/>
    <w:rsid w:val="00244465"/>
    <w:rsid w:val="00256EBE"/>
    <w:rsid w:val="00263236"/>
    <w:rsid w:val="00263526"/>
    <w:rsid w:val="002762DC"/>
    <w:rsid w:val="002774E7"/>
    <w:rsid w:val="0029665A"/>
    <w:rsid w:val="002A31BA"/>
    <w:rsid w:val="002B1B5B"/>
    <w:rsid w:val="002B7B54"/>
    <w:rsid w:val="002C2306"/>
    <w:rsid w:val="002E0FC6"/>
    <w:rsid w:val="002E1BAF"/>
    <w:rsid w:val="002E3763"/>
    <w:rsid w:val="002E42FB"/>
    <w:rsid w:val="002F1932"/>
    <w:rsid w:val="002F300F"/>
    <w:rsid w:val="002F362A"/>
    <w:rsid w:val="00300FFB"/>
    <w:rsid w:val="00302C2C"/>
    <w:rsid w:val="003122EE"/>
    <w:rsid w:val="0031504C"/>
    <w:rsid w:val="003153E9"/>
    <w:rsid w:val="00316184"/>
    <w:rsid w:val="00320FB1"/>
    <w:rsid w:val="00325299"/>
    <w:rsid w:val="00326A97"/>
    <w:rsid w:val="003422E6"/>
    <w:rsid w:val="00361328"/>
    <w:rsid w:val="0036634B"/>
    <w:rsid w:val="00370A61"/>
    <w:rsid w:val="00371B2F"/>
    <w:rsid w:val="00373DA5"/>
    <w:rsid w:val="003774E2"/>
    <w:rsid w:val="003963EA"/>
    <w:rsid w:val="003A1D55"/>
    <w:rsid w:val="003B2FBC"/>
    <w:rsid w:val="003C6B3C"/>
    <w:rsid w:val="003D125F"/>
    <w:rsid w:val="003D1560"/>
    <w:rsid w:val="003D4955"/>
    <w:rsid w:val="003D6938"/>
    <w:rsid w:val="003E4D64"/>
    <w:rsid w:val="003F2E98"/>
    <w:rsid w:val="00422381"/>
    <w:rsid w:val="00422E94"/>
    <w:rsid w:val="00423514"/>
    <w:rsid w:val="004264FD"/>
    <w:rsid w:val="00437D8B"/>
    <w:rsid w:val="00441ED6"/>
    <w:rsid w:val="004564CF"/>
    <w:rsid w:val="00456CF4"/>
    <w:rsid w:val="004729D5"/>
    <w:rsid w:val="00475483"/>
    <w:rsid w:val="00485D69"/>
    <w:rsid w:val="004A2CD7"/>
    <w:rsid w:val="004B4291"/>
    <w:rsid w:val="004C6430"/>
    <w:rsid w:val="004D17B1"/>
    <w:rsid w:val="004E4241"/>
    <w:rsid w:val="004E45A5"/>
    <w:rsid w:val="004F0405"/>
    <w:rsid w:val="004F3D2F"/>
    <w:rsid w:val="004F562B"/>
    <w:rsid w:val="004F6006"/>
    <w:rsid w:val="004F75E8"/>
    <w:rsid w:val="00506A93"/>
    <w:rsid w:val="00510A91"/>
    <w:rsid w:val="00513DF6"/>
    <w:rsid w:val="00520192"/>
    <w:rsid w:val="0052195A"/>
    <w:rsid w:val="0053096D"/>
    <w:rsid w:val="00532050"/>
    <w:rsid w:val="00532662"/>
    <w:rsid w:val="005415FF"/>
    <w:rsid w:val="005515A4"/>
    <w:rsid w:val="005677B8"/>
    <w:rsid w:val="00580228"/>
    <w:rsid w:val="00583A18"/>
    <w:rsid w:val="005878E6"/>
    <w:rsid w:val="005975A9"/>
    <w:rsid w:val="005A271E"/>
    <w:rsid w:val="005A3E62"/>
    <w:rsid w:val="005A7E71"/>
    <w:rsid w:val="005C1012"/>
    <w:rsid w:val="005C4524"/>
    <w:rsid w:val="005D0650"/>
    <w:rsid w:val="005F144B"/>
    <w:rsid w:val="00607F80"/>
    <w:rsid w:val="00626D9D"/>
    <w:rsid w:val="00632EBD"/>
    <w:rsid w:val="006366B2"/>
    <w:rsid w:val="0065462D"/>
    <w:rsid w:val="006562F3"/>
    <w:rsid w:val="00661E53"/>
    <w:rsid w:val="00670168"/>
    <w:rsid w:val="00682743"/>
    <w:rsid w:val="00685E01"/>
    <w:rsid w:val="006915B2"/>
    <w:rsid w:val="00696047"/>
    <w:rsid w:val="00697BCD"/>
    <w:rsid w:val="006B3EEE"/>
    <w:rsid w:val="006B5115"/>
    <w:rsid w:val="00702FD6"/>
    <w:rsid w:val="00706945"/>
    <w:rsid w:val="007158E1"/>
    <w:rsid w:val="00726490"/>
    <w:rsid w:val="00750F53"/>
    <w:rsid w:val="007520C6"/>
    <w:rsid w:val="00753F7D"/>
    <w:rsid w:val="00762294"/>
    <w:rsid w:val="0078145E"/>
    <w:rsid w:val="00794099"/>
    <w:rsid w:val="00794E54"/>
    <w:rsid w:val="007A4EF2"/>
    <w:rsid w:val="007A7B68"/>
    <w:rsid w:val="007B2788"/>
    <w:rsid w:val="007B3922"/>
    <w:rsid w:val="007B62B2"/>
    <w:rsid w:val="007B760C"/>
    <w:rsid w:val="007C78A5"/>
    <w:rsid w:val="007D30CD"/>
    <w:rsid w:val="007D5019"/>
    <w:rsid w:val="007E7623"/>
    <w:rsid w:val="007F7ADE"/>
    <w:rsid w:val="00800157"/>
    <w:rsid w:val="00806A9D"/>
    <w:rsid w:val="0081205B"/>
    <w:rsid w:val="008168E7"/>
    <w:rsid w:val="00820E63"/>
    <w:rsid w:val="00827681"/>
    <w:rsid w:val="008319C8"/>
    <w:rsid w:val="00833BA4"/>
    <w:rsid w:val="00851F89"/>
    <w:rsid w:val="00853771"/>
    <w:rsid w:val="00853812"/>
    <w:rsid w:val="00856C26"/>
    <w:rsid w:val="00862F2E"/>
    <w:rsid w:val="0086406B"/>
    <w:rsid w:val="00866C26"/>
    <w:rsid w:val="008674BE"/>
    <w:rsid w:val="00873EA9"/>
    <w:rsid w:val="00877C2F"/>
    <w:rsid w:val="008906E1"/>
    <w:rsid w:val="00894ED6"/>
    <w:rsid w:val="008B0DA1"/>
    <w:rsid w:val="008B44CA"/>
    <w:rsid w:val="008B7AE0"/>
    <w:rsid w:val="008D732B"/>
    <w:rsid w:val="008E5A36"/>
    <w:rsid w:val="008F4F58"/>
    <w:rsid w:val="00902BDA"/>
    <w:rsid w:val="009072BF"/>
    <w:rsid w:val="009147F6"/>
    <w:rsid w:val="00916BD6"/>
    <w:rsid w:val="009324B5"/>
    <w:rsid w:val="00934A16"/>
    <w:rsid w:val="00935AE3"/>
    <w:rsid w:val="00937CAF"/>
    <w:rsid w:val="0094358C"/>
    <w:rsid w:val="009472E4"/>
    <w:rsid w:val="00947313"/>
    <w:rsid w:val="0095397E"/>
    <w:rsid w:val="00961561"/>
    <w:rsid w:val="0096784D"/>
    <w:rsid w:val="00970844"/>
    <w:rsid w:val="00970985"/>
    <w:rsid w:val="00972099"/>
    <w:rsid w:val="009934B9"/>
    <w:rsid w:val="009A6505"/>
    <w:rsid w:val="009B0DCE"/>
    <w:rsid w:val="009B22C9"/>
    <w:rsid w:val="009B7EEE"/>
    <w:rsid w:val="009C526F"/>
    <w:rsid w:val="009D2173"/>
    <w:rsid w:val="009D5097"/>
    <w:rsid w:val="009D54EE"/>
    <w:rsid w:val="009D5944"/>
    <w:rsid w:val="009D7174"/>
    <w:rsid w:val="009F7C17"/>
    <w:rsid w:val="00A138F9"/>
    <w:rsid w:val="00A13EDD"/>
    <w:rsid w:val="00A215EF"/>
    <w:rsid w:val="00A24FA7"/>
    <w:rsid w:val="00A3187E"/>
    <w:rsid w:val="00A369F3"/>
    <w:rsid w:val="00A374B7"/>
    <w:rsid w:val="00A475D2"/>
    <w:rsid w:val="00A54129"/>
    <w:rsid w:val="00A60391"/>
    <w:rsid w:val="00A63451"/>
    <w:rsid w:val="00A64BFC"/>
    <w:rsid w:val="00A65FCB"/>
    <w:rsid w:val="00A670DD"/>
    <w:rsid w:val="00A67AE2"/>
    <w:rsid w:val="00A7200F"/>
    <w:rsid w:val="00A8358F"/>
    <w:rsid w:val="00AA66C1"/>
    <w:rsid w:val="00AB0123"/>
    <w:rsid w:val="00AB3C30"/>
    <w:rsid w:val="00AB5CC5"/>
    <w:rsid w:val="00AD6AEE"/>
    <w:rsid w:val="00AF031B"/>
    <w:rsid w:val="00B02152"/>
    <w:rsid w:val="00B03307"/>
    <w:rsid w:val="00B0363F"/>
    <w:rsid w:val="00B217FD"/>
    <w:rsid w:val="00B23437"/>
    <w:rsid w:val="00B302D4"/>
    <w:rsid w:val="00B371A6"/>
    <w:rsid w:val="00B37F34"/>
    <w:rsid w:val="00B45E5E"/>
    <w:rsid w:val="00B4682A"/>
    <w:rsid w:val="00B520E3"/>
    <w:rsid w:val="00B53DBE"/>
    <w:rsid w:val="00B60819"/>
    <w:rsid w:val="00B630FC"/>
    <w:rsid w:val="00B72AD9"/>
    <w:rsid w:val="00B77C1C"/>
    <w:rsid w:val="00B80BAB"/>
    <w:rsid w:val="00B83045"/>
    <w:rsid w:val="00B848CC"/>
    <w:rsid w:val="00B92FB9"/>
    <w:rsid w:val="00B96829"/>
    <w:rsid w:val="00BA3994"/>
    <w:rsid w:val="00BB24FD"/>
    <w:rsid w:val="00BB3F8B"/>
    <w:rsid w:val="00BD5231"/>
    <w:rsid w:val="00BE2AB3"/>
    <w:rsid w:val="00C03DE4"/>
    <w:rsid w:val="00C05864"/>
    <w:rsid w:val="00C07460"/>
    <w:rsid w:val="00C101F6"/>
    <w:rsid w:val="00C11B9C"/>
    <w:rsid w:val="00C141DE"/>
    <w:rsid w:val="00C21CE5"/>
    <w:rsid w:val="00C224E8"/>
    <w:rsid w:val="00C26A7D"/>
    <w:rsid w:val="00C2753D"/>
    <w:rsid w:val="00C31816"/>
    <w:rsid w:val="00C31DE7"/>
    <w:rsid w:val="00C320C3"/>
    <w:rsid w:val="00C32960"/>
    <w:rsid w:val="00C344EB"/>
    <w:rsid w:val="00C35680"/>
    <w:rsid w:val="00C364D8"/>
    <w:rsid w:val="00C40E78"/>
    <w:rsid w:val="00C456FA"/>
    <w:rsid w:val="00C4591C"/>
    <w:rsid w:val="00C528F5"/>
    <w:rsid w:val="00C571AD"/>
    <w:rsid w:val="00C62198"/>
    <w:rsid w:val="00C6478C"/>
    <w:rsid w:val="00C67726"/>
    <w:rsid w:val="00C67B99"/>
    <w:rsid w:val="00C76D6B"/>
    <w:rsid w:val="00C85B4F"/>
    <w:rsid w:val="00C87FBC"/>
    <w:rsid w:val="00CA1329"/>
    <w:rsid w:val="00CB0144"/>
    <w:rsid w:val="00CB0CA0"/>
    <w:rsid w:val="00CB6FB8"/>
    <w:rsid w:val="00CD56AD"/>
    <w:rsid w:val="00CE3EC5"/>
    <w:rsid w:val="00CF161F"/>
    <w:rsid w:val="00D02197"/>
    <w:rsid w:val="00D0340D"/>
    <w:rsid w:val="00D15E40"/>
    <w:rsid w:val="00D22CD8"/>
    <w:rsid w:val="00D23EA6"/>
    <w:rsid w:val="00D32747"/>
    <w:rsid w:val="00D329D2"/>
    <w:rsid w:val="00D33049"/>
    <w:rsid w:val="00D35305"/>
    <w:rsid w:val="00D363C6"/>
    <w:rsid w:val="00D41E1E"/>
    <w:rsid w:val="00D420E1"/>
    <w:rsid w:val="00D42A77"/>
    <w:rsid w:val="00D62169"/>
    <w:rsid w:val="00D644CD"/>
    <w:rsid w:val="00D65C78"/>
    <w:rsid w:val="00D67093"/>
    <w:rsid w:val="00D74295"/>
    <w:rsid w:val="00D82884"/>
    <w:rsid w:val="00D8571B"/>
    <w:rsid w:val="00D874DD"/>
    <w:rsid w:val="00D90059"/>
    <w:rsid w:val="00D9312A"/>
    <w:rsid w:val="00D94A22"/>
    <w:rsid w:val="00D97605"/>
    <w:rsid w:val="00D97810"/>
    <w:rsid w:val="00DB057A"/>
    <w:rsid w:val="00DB3E1A"/>
    <w:rsid w:val="00DB6AB3"/>
    <w:rsid w:val="00DC19B6"/>
    <w:rsid w:val="00DC2DCE"/>
    <w:rsid w:val="00DC4065"/>
    <w:rsid w:val="00DC481A"/>
    <w:rsid w:val="00DC4C2D"/>
    <w:rsid w:val="00DC6AAC"/>
    <w:rsid w:val="00DD41A9"/>
    <w:rsid w:val="00DD56C1"/>
    <w:rsid w:val="00DE19EA"/>
    <w:rsid w:val="00DE614D"/>
    <w:rsid w:val="00DF6BE6"/>
    <w:rsid w:val="00E047C6"/>
    <w:rsid w:val="00E43DBD"/>
    <w:rsid w:val="00E45603"/>
    <w:rsid w:val="00E52689"/>
    <w:rsid w:val="00E5321D"/>
    <w:rsid w:val="00E53DD0"/>
    <w:rsid w:val="00E564EE"/>
    <w:rsid w:val="00E654FC"/>
    <w:rsid w:val="00E6691D"/>
    <w:rsid w:val="00E739BC"/>
    <w:rsid w:val="00E76BE8"/>
    <w:rsid w:val="00E80DD1"/>
    <w:rsid w:val="00E90D1F"/>
    <w:rsid w:val="00EA037C"/>
    <w:rsid w:val="00EB2BF0"/>
    <w:rsid w:val="00EB64A3"/>
    <w:rsid w:val="00EB71F6"/>
    <w:rsid w:val="00EC0160"/>
    <w:rsid w:val="00EC1A15"/>
    <w:rsid w:val="00EC25F8"/>
    <w:rsid w:val="00EC326C"/>
    <w:rsid w:val="00EC4613"/>
    <w:rsid w:val="00EC69DC"/>
    <w:rsid w:val="00ED0736"/>
    <w:rsid w:val="00EE10FE"/>
    <w:rsid w:val="00F05089"/>
    <w:rsid w:val="00F11CDC"/>
    <w:rsid w:val="00F17A14"/>
    <w:rsid w:val="00F20523"/>
    <w:rsid w:val="00F21704"/>
    <w:rsid w:val="00F332F7"/>
    <w:rsid w:val="00F37E58"/>
    <w:rsid w:val="00F40187"/>
    <w:rsid w:val="00F41EE2"/>
    <w:rsid w:val="00F55530"/>
    <w:rsid w:val="00F63E15"/>
    <w:rsid w:val="00F71079"/>
    <w:rsid w:val="00F97B71"/>
    <w:rsid w:val="00FA1AC4"/>
    <w:rsid w:val="00FA1C72"/>
    <w:rsid w:val="00FA4F70"/>
    <w:rsid w:val="00FA5346"/>
    <w:rsid w:val="00FB2279"/>
    <w:rsid w:val="00FB74BA"/>
    <w:rsid w:val="00FC6930"/>
    <w:rsid w:val="00FD2B8F"/>
    <w:rsid w:val="00FE2918"/>
    <w:rsid w:val="00FE53C1"/>
    <w:rsid w:val="056564E7"/>
    <w:rsid w:val="0AFA358E"/>
    <w:rsid w:val="1258259C"/>
    <w:rsid w:val="150862D4"/>
    <w:rsid w:val="160F5C9C"/>
    <w:rsid w:val="17B15445"/>
    <w:rsid w:val="182F2FCF"/>
    <w:rsid w:val="1A1500A8"/>
    <w:rsid w:val="222613D4"/>
    <w:rsid w:val="222F1257"/>
    <w:rsid w:val="249C3520"/>
    <w:rsid w:val="27544FDC"/>
    <w:rsid w:val="28F239D8"/>
    <w:rsid w:val="294504D0"/>
    <w:rsid w:val="2F78771C"/>
    <w:rsid w:val="3AE20384"/>
    <w:rsid w:val="3BBB45FB"/>
    <w:rsid w:val="3E107E02"/>
    <w:rsid w:val="464756F4"/>
    <w:rsid w:val="487F19A9"/>
    <w:rsid w:val="4C117039"/>
    <w:rsid w:val="4F4D08DE"/>
    <w:rsid w:val="54447326"/>
    <w:rsid w:val="58230744"/>
    <w:rsid w:val="5DFB297F"/>
    <w:rsid w:val="5FC65B8A"/>
    <w:rsid w:val="5FDE6286"/>
    <w:rsid w:val="625A793A"/>
    <w:rsid w:val="6D3C783A"/>
    <w:rsid w:val="7504540B"/>
    <w:rsid w:val="7881421C"/>
    <w:rsid w:val="7B3634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asciiTheme="minorHAnsi" w:hAnsiTheme="minorHAnsi" w:eastAsiaTheme="minorEastAsia"/>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Strong"/>
    <w:basedOn w:val="8"/>
    <w:qFormat/>
    <w:uiPriority w:val="0"/>
    <w:rPr>
      <w:b/>
    </w:rPr>
  </w:style>
  <w:style w:type="character" w:styleId="10">
    <w:name w:val="page number"/>
    <w:basedOn w:val="8"/>
    <w:qFormat/>
    <w:uiPriority w:val="0"/>
  </w:style>
  <w:style w:type="character" w:customStyle="1" w:styleId="11">
    <w:name w:val="页脚 Char"/>
    <w:basedOn w:val="8"/>
    <w:link w:val="3"/>
    <w:qFormat/>
    <w:uiPriority w:val="0"/>
    <w:rPr>
      <w:rFonts w:ascii="Times New Roman" w:hAnsi="Times New Roman" w:eastAsia="宋体" w:cs="Times New Roman"/>
      <w:sz w:val="18"/>
      <w:szCs w:val="18"/>
    </w:rPr>
  </w:style>
  <w:style w:type="character" w:customStyle="1" w:styleId="12">
    <w:name w:val="页眉 Char"/>
    <w:basedOn w:val="8"/>
    <w:link w:val="4"/>
    <w:qFormat/>
    <w:uiPriority w:val="99"/>
    <w:rPr>
      <w:rFonts w:ascii="Times New Roman" w:hAnsi="Times New Roman" w:eastAsia="宋体" w:cs="Times New Roman"/>
      <w:sz w:val="18"/>
      <w:szCs w:val="18"/>
    </w:rPr>
  </w:style>
  <w:style w:type="character" w:customStyle="1" w:styleId="13">
    <w:name w:val="批注框文本 Char"/>
    <w:basedOn w:val="8"/>
    <w:link w:val="2"/>
    <w:semiHidden/>
    <w:qFormat/>
    <w:uiPriority w:val="99"/>
    <w:rPr>
      <w:rFonts w:ascii="Times New Roman" w:hAnsi="Times New Roman" w:eastAsia="宋体" w:cs="Times New Roman"/>
      <w:sz w:val="18"/>
      <w:szCs w:val="18"/>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275</Words>
  <Characters>1572</Characters>
  <Lines>13</Lines>
  <Paragraphs>3</Paragraphs>
  <TotalTime>73</TotalTime>
  <ScaleCrop>false</ScaleCrop>
  <LinksUpToDate>false</LinksUpToDate>
  <CharactersWithSpaces>1844</CharactersWithSpaces>
  <Application>WPS Office_11.1.0.8584_F1E327BC-269C-435d-A152-05C5408002CA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2018-11-29T07:09:00Z</dcterms:created>
  <dc:creator>Tina zhou</dc:creator>
  <cp:lastModifiedBy>池雨坤</cp:lastModifiedBy>
  <dcterms:modified xsi:type="dcterms:W3CDTF">2019-05-13T08:05:22Z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