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asciiTheme="minorEastAsia" w:hAnsiTheme="minorEastAsia" w:eastAsiaTheme="minorEastAsia"/>
          <w:b/>
          <w:bCs/>
          <w:iCs/>
          <w:sz w:val="24"/>
        </w:rPr>
      </w:pPr>
      <w:r>
        <w:rPr>
          <w:rFonts w:hint="eastAsia" w:asciiTheme="minorEastAsia" w:hAnsiTheme="minorEastAsia" w:eastAsiaTheme="minorEastAsia"/>
          <w:b/>
          <w:bCs/>
          <w:iCs/>
          <w:sz w:val="24"/>
        </w:rPr>
        <w:t>证券代码：</w:t>
      </w:r>
      <w:r>
        <w:rPr>
          <w:rFonts w:asciiTheme="minorEastAsia" w:hAnsiTheme="minorEastAsia" w:eastAsiaTheme="minorEastAsia"/>
          <w:b/>
          <w:bCs/>
          <w:iCs/>
          <w:sz w:val="24"/>
        </w:rPr>
        <w:t xml:space="preserve">002065                   </w:t>
      </w:r>
      <w:r>
        <w:rPr>
          <w:rFonts w:hint="eastAsia" w:asciiTheme="minorEastAsia" w:hAnsiTheme="minorEastAsia" w:eastAsiaTheme="minorEastAsia"/>
          <w:b/>
          <w:bCs/>
          <w:iCs/>
          <w:sz w:val="24"/>
        </w:rPr>
        <w:t xml:space="preserve">               证券简称：东华软件</w:t>
      </w:r>
    </w:p>
    <w:p>
      <w:pPr>
        <w:spacing w:before="156" w:beforeLines="50" w:after="156" w:afterLines="50" w:line="360" w:lineRule="auto"/>
        <w:jc w:val="center"/>
        <w:rPr>
          <w:rFonts w:asciiTheme="minorEastAsia" w:hAnsiTheme="minorEastAsia" w:eastAsiaTheme="minorEastAsia"/>
          <w:b/>
          <w:bCs/>
          <w:iCs/>
          <w:sz w:val="28"/>
          <w:szCs w:val="24"/>
        </w:rPr>
      </w:pPr>
      <w:r>
        <w:rPr>
          <w:rFonts w:hint="eastAsia" w:asciiTheme="minorEastAsia" w:hAnsiTheme="minorEastAsia" w:eastAsiaTheme="minorEastAsia"/>
          <w:b/>
          <w:bCs/>
          <w:iCs/>
          <w:sz w:val="28"/>
          <w:szCs w:val="24"/>
        </w:rPr>
        <w:t>东华软件股份公司投资者关系活动记录表</w:t>
      </w:r>
    </w:p>
    <w:p>
      <w:pPr>
        <w:spacing w:before="50" w:after="50" w:line="360" w:lineRule="auto"/>
        <w:ind w:firstLine="6360" w:firstLineChars="2650"/>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编号：</w:t>
      </w:r>
      <w:r>
        <w:rPr>
          <w:rFonts w:asciiTheme="minorEastAsia" w:hAnsiTheme="minorEastAsia" w:eastAsiaTheme="minorEastAsia"/>
          <w:bCs/>
          <w:iCs/>
          <w:sz w:val="24"/>
          <w:szCs w:val="24"/>
        </w:rPr>
        <w:t>201</w:t>
      </w:r>
      <w:r>
        <w:rPr>
          <w:rFonts w:hint="eastAsia" w:asciiTheme="minorEastAsia" w:hAnsiTheme="minorEastAsia" w:eastAsiaTheme="minorEastAsia"/>
          <w:bCs/>
          <w:iCs/>
          <w:sz w:val="24"/>
          <w:szCs w:val="24"/>
        </w:rPr>
        <w:t>9</w:t>
      </w:r>
      <w:r>
        <w:rPr>
          <w:rFonts w:asciiTheme="minorEastAsia" w:hAnsiTheme="minorEastAsia" w:eastAsiaTheme="minorEastAsia"/>
          <w:bCs/>
          <w:iCs/>
          <w:sz w:val="24"/>
          <w:szCs w:val="24"/>
        </w:rPr>
        <w:t>-00</w:t>
      </w:r>
      <w:r>
        <w:rPr>
          <w:rFonts w:hint="eastAsia" w:asciiTheme="minorEastAsia" w:hAnsiTheme="minorEastAsia" w:eastAsiaTheme="minorEastAsia"/>
          <w:bCs/>
          <w:iCs/>
          <w:sz w:val="24"/>
          <w:szCs w:val="24"/>
        </w:rPr>
        <w:t>2</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投资者关系活动类别</w:t>
            </w:r>
          </w:p>
          <w:p>
            <w:pPr>
              <w:spacing w:before="50" w:after="50" w:line="360" w:lineRule="auto"/>
              <w:jc w:val="left"/>
              <w:rPr>
                <w:rFonts w:asciiTheme="minorEastAsia" w:hAnsiTheme="minorEastAsia" w:eastAsiaTheme="minorEastAsia"/>
                <w:b/>
                <w:bCs/>
                <w:iCs/>
                <w:sz w:val="24"/>
                <w:szCs w:val="24"/>
              </w:rPr>
            </w:pPr>
          </w:p>
        </w:tc>
        <w:tc>
          <w:tcPr>
            <w:tcW w:w="6395" w:type="dxa"/>
          </w:tcPr>
          <w:p>
            <w:pPr>
              <w:spacing w:before="50" w:after="50" w:line="360" w:lineRule="auto"/>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sym w:font="Wingdings 2" w:char="0052"/>
            </w:r>
            <w:r>
              <w:rPr>
                <w:rFonts w:hint="eastAsia" w:asciiTheme="minorEastAsia" w:hAnsiTheme="minorEastAsia" w:eastAsiaTheme="minorEastAsia"/>
                <w:b/>
                <w:bCs/>
                <w:sz w:val="24"/>
                <w:szCs w:val="24"/>
              </w:rPr>
              <w:t>特定对象调研</w:t>
            </w:r>
            <w:r>
              <w:rPr>
                <w:rFonts w:hint="eastAsia" w:asciiTheme="minorEastAsia" w:hAnsiTheme="minorEastAsia" w:eastAsiaTheme="minorEastAsia"/>
                <w:sz w:val="24"/>
                <w:szCs w:val="24"/>
              </w:rPr>
              <w:t xml:space="preserve">   </w:t>
            </w:r>
            <w:r>
              <w:rPr>
                <w:rFonts w:hint="eastAsia" w:asciiTheme="minorEastAsia" w:hAnsiTheme="minorEastAsia" w:eastAsiaTheme="minorEastAsia"/>
                <w:bCs/>
                <w:iCs/>
                <w:sz w:val="24"/>
                <w:szCs w:val="24"/>
              </w:rPr>
              <w:t>□</w:t>
            </w:r>
            <w:r>
              <w:rPr>
                <w:rFonts w:hint="eastAsia" w:asciiTheme="minorEastAsia" w:hAnsiTheme="minorEastAsia" w:eastAsiaTheme="minorEastAsia"/>
                <w:sz w:val="24"/>
                <w:szCs w:val="24"/>
              </w:rPr>
              <w:t>分析师会议</w:t>
            </w:r>
          </w:p>
          <w:p>
            <w:pPr>
              <w:spacing w:before="50" w:after="50" w:line="360" w:lineRule="auto"/>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w:t>
            </w:r>
            <w:r>
              <w:rPr>
                <w:rFonts w:hint="eastAsia" w:asciiTheme="minorEastAsia" w:hAnsiTheme="minorEastAsia" w:eastAsiaTheme="minorEastAsia"/>
                <w:sz w:val="24"/>
                <w:szCs w:val="24"/>
              </w:rPr>
              <w:t xml:space="preserve">媒体采访       </w:t>
            </w:r>
            <w:r>
              <w:rPr>
                <w:rFonts w:hint="eastAsia" w:asciiTheme="minorEastAsia" w:hAnsiTheme="minorEastAsia" w:eastAsiaTheme="minorEastAsia"/>
                <w:bCs/>
                <w:iCs/>
                <w:sz w:val="24"/>
                <w:szCs w:val="24"/>
              </w:rPr>
              <w:t>□</w:t>
            </w:r>
            <w:r>
              <w:rPr>
                <w:rFonts w:hint="eastAsia" w:asciiTheme="minorEastAsia" w:hAnsiTheme="minorEastAsia" w:eastAsiaTheme="minorEastAsia"/>
                <w:bCs/>
                <w:sz w:val="24"/>
                <w:szCs w:val="24"/>
              </w:rPr>
              <w:t>业绩说明会</w:t>
            </w:r>
          </w:p>
          <w:p>
            <w:pPr>
              <w:spacing w:before="50" w:after="50" w:line="360" w:lineRule="auto"/>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w:t>
            </w:r>
            <w:r>
              <w:rPr>
                <w:rFonts w:hint="eastAsia" w:asciiTheme="minorEastAsia" w:hAnsiTheme="minorEastAsia" w:eastAsiaTheme="minorEastAsia"/>
                <w:sz w:val="24"/>
                <w:szCs w:val="24"/>
              </w:rPr>
              <w:t xml:space="preserve">新闻发布会     </w:t>
            </w:r>
            <w:r>
              <w:rPr>
                <w:rFonts w:hint="eastAsia" w:asciiTheme="minorEastAsia" w:hAnsiTheme="minorEastAsia" w:eastAsiaTheme="minorEastAsia"/>
                <w:bCs/>
                <w:iCs/>
                <w:sz w:val="24"/>
                <w:szCs w:val="24"/>
              </w:rPr>
              <w:t>□</w:t>
            </w:r>
            <w:r>
              <w:rPr>
                <w:rFonts w:hint="eastAsia" w:asciiTheme="minorEastAsia" w:hAnsiTheme="minorEastAsia" w:eastAsiaTheme="minorEastAsia"/>
                <w:sz w:val="24"/>
                <w:szCs w:val="24"/>
              </w:rPr>
              <w:t>路演活动</w:t>
            </w:r>
          </w:p>
          <w:p>
            <w:pPr>
              <w:tabs>
                <w:tab w:val="left" w:pos="3045"/>
                <w:tab w:val="center" w:pos="3199"/>
              </w:tabs>
              <w:spacing w:before="50" w:after="50" w:line="360" w:lineRule="auto"/>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w:t>
            </w:r>
            <w:r>
              <w:rPr>
                <w:rFonts w:hint="eastAsia" w:asciiTheme="minorEastAsia" w:hAnsiTheme="minorEastAsia" w:eastAsiaTheme="minorEastAsia"/>
                <w:sz w:val="24"/>
                <w:szCs w:val="24"/>
              </w:rPr>
              <w:t>现场参观</w:t>
            </w:r>
            <w:r>
              <w:rPr>
                <w:rFonts w:asciiTheme="minorEastAsia" w:hAnsiTheme="minorEastAsia" w:eastAsiaTheme="minorEastAsia"/>
                <w:bCs/>
                <w:iCs/>
                <w:sz w:val="24"/>
                <w:szCs w:val="24"/>
              </w:rPr>
              <w:tab/>
            </w:r>
          </w:p>
          <w:p>
            <w:pPr>
              <w:tabs>
                <w:tab w:val="center" w:pos="3199"/>
              </w:tabs>
              <w:spacing w:before="50" w:after="50" w:line="360" w:lineRule="auto"/>
              <w:rPr>
                <w:rFonts w:asciiTheme="minorEastAsia" w:hAnsiTheme="minorEastAsia" w:eastAsiaTheme="minorEastAsia"/>
                <w:sz w:val="24"/>
                <w:szCs w:val="24"/>
                <w:u w:val="single"/>
              </w:rPr>
            </w:pPr>
            <w:r>
              <w:rPr>
                <w:rFonts w:hint="eastAsia" w:asciiTheme="minorEastAsia" w:hAnsiTheme="minorEastAsia" w:eastAsiaTheme="minorEastAsia"/>
                <w:bCs/>
                <w:iCs/>
                <w:sz w:val="24"/>
                <w:szCs w:val="24"/>
              </w:rPr>
              <w:t>□</w:t>
            </w:r>
            <w:r>
              <w:rPr>
                <w:rFonts w:hint="eastAsia" w:asciiTheme="minorEastAsia" w:hAnsiTheme="minorEastAsia" w:eastAsiaTheme="minorEastAsia"/>
                <w:sz w:val="24"/>
                <w:szCs w:val="24"/>
              </w:rPr>
              <w:t>其他（</w:t>
            </w:r>
            <w:r>
              <w:rPr>
                <w:rFonts w:hint="eastAsia" w:asciiTheme="minorEastAsia" w:hAnsiTheme="minorEastAsia" w:eastAsiaTheme="minorEastAsia"/>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7" w:type="dxa"/>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参与单位名称及人员姓名</w:t>
            </w:r>
          </w:p>
        </w:tc>
        <w:tc>
          <w:tcPr>
            <w:tcW w:w="6395" w:type="dxa"/>
          </w:tcPr>
          <w:tbl>
            <w:tblPr>
              <w:tblStyle w:val="6"/>
              <w:tblW w:w="6614" w:type="dxa"/>
              <w:tblInd w:w="0" w:type="dxa"/>
              <w:tblLayout w:type="fixed"/>
              <w:tblCellMar>
                <w:top w:w="15" w:type="dxa"/>
                <w:left w:w="15" w:type="dxa"/>
                <w:bottom w:w="15" w:type="dxa"/>
                <w:right w:w="15" w:type="dxa"/>
              </w:tblCellMar>
            </w:tblPr>
            <w:tblGrid>
              <w:gridCol w:w="2995"/>
              <w:gridCol w:w="3619"/>
            </w:tblGrid>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360" w:lineRule="auto"/>
                    <w:jc w:val="left"/>
                    <w:textAlignment w:val="center"/>
                    <w:rPr>
                      <w:rFonts w:ascii="宋体" w:hAnsi="宋体" w:cs="宋体"/>
                      <w:b/>
                      <w:color w:val="000000"/>
                      <w:sz w:val="24"/>
                      <w:szCs w:val="24"/>
                    </w:rPr>
                  </w:pPr>
                  <w:r>
                    <w:rPr>
                      <w:rFonts w:hint="eastAsia" w:ascii="宋体" w:hAnsi="宋体" w:cs="宋体"/>
                      <w:b/>
                      <w:color w:val="000000"/>
                      <w:kern w:val="0"/>
                      <w:sz w:val="24"/>
                      <w:szCs w:val="24"/>
                      <w:lang w:bidi="ar"/>
                    </w:rPr>
                    <w:t>机构名称</w:t>
                  </w:r>
                </w:p>
              </w:tc>
              <w:tc>
                <w:tcPr>
                  <w:tcW w:w="3619" w:type="dxa"/>
                  <w:shd w:val="clear" w:color="auto" w:fill="auto"/>
                  <w:vAlign w:val="center"/>
                </w:tcPr>
                <w:p>
                  <w:pPr>
                    <w:widowControl/>
                    <w:spacing w:line="360" w:lineRule="auto"/>
                    <w:jc w:val="left"/>
                    <w:textAlignment w:val="center"/>
                    <w:rPr>
                      <w:rFonts w:ascii="宋体" w:hAnsi="宋体" w:cs="宋体"/>
                      <w:b/>
                      <w:color w:val="000000"/>
                      <w:sz w:val="24"/>
                      <w:szCs w:val="24"/>
                    </w:rPr>
                  </w:pPr>
                  <w:r>
                    <w:rPr>
                      <w:rFonts w:hint="eastAsia" w:ascii="宋体" w:hAnsi="宋体" w:cs="宋体"/>
                      <w:b/>
                      <w:color w:val="000000"/>
                      <w:kern w:val="0"/>
                      <w:sz w:val="24"/>
                      <w:szCs w:val="24"/>
                      <w:lang w:bidi="ar"/>
                    </w:rPr>
                    <w:t>参会人员</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Abax</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Steve Minnaar</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Allianz Global Investors</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Jason Hsu</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Anatole</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Ryan Hu</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Barings</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Fred Wang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Blackrock</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Lucy Liu</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Blackrock</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Andy He</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Brianna Capital</w:t>
                  </w:r>
                </w:p>
              </w:tc>
              <w:tc>
                <w:tcPr>
                  <w:tcW w:w="3619" w:type="dxa"/>
                  <w:shd w:val="clear" w:color="auto" w:fill="auto"/>
                  <w:vAlign w:val="center"/>
                </w:tcPr>
                <w:p>
                  <w:pPr>
                    <w:widowControl/>
                    <w:spacing w:line="210" w:lineRule="atLeast"/>
                    <w:rPr>
                      <w:color w:val="000000"/>
                      <w:kern w:val="0"/>
                      <w:sz w:val="24"/>
                      <w:szCs w:val="24"/>
                      <w:lang w:bidi="ar"/>
                    </w:rPr>
                  </w:pPr>
                  <w:r>
                    <w:rPr>
                      <w:color w:val="000000"/>
                      <w:kern w:val="0"/>
                      <w:sz w:val="24"/>
                      <w:szCs w:val="24"/>
                      <w:lang w:bidi="ar"/>
                    </w:rPr>
                    <w:t>Daniel Wang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China Alpha FM</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Krissie Xing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Doric Capital</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Howard</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Elephas</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Jonathan Cai</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GIC</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Xu Meng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Hillhouse</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Vincent Gao</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Hillhouse</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Guangshuai Li</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JP Morgan AM</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Robert Yen</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Lion Global Investors</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Marcus Fung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Macquarie</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John Wang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Macquarie</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Rui Yu</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Macquarie</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Sunny Hsiao</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Macquarie</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Alan Chen</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Maple Brown Abbott</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Hu Bei Bei</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Matthews Int'l</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John Lech</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MSIM</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Alastair Pang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Myriad AM</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Lori Liu</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Nikko AM</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Peter Monson</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Polunin</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Cherie Tong</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Schroders</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Ashley Chung　</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Sophus</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Rex Chen</w:t>
                  </w:r>
                </w:p>
              </w:tc>
            </w:tr>
            <w:tr>
              <w:tblPrEx>
                <w:tblLayout w:type="fixed"/>
                <w:tblCellMar>
                  <w:top w:w="15" w:type="dxa"/>
                  <w:left w:w="15" w:type="dxa"/>
                  <w:bottom w:w="15" w:type="dxa"/>
                  <w:right w:w="15" w:type="dxa"/>
                </w:tblCellMar>
              </w:tblPrEx>
              <w:trPr>
                <w:trHeight w:val="191" w:hRule="atLeast"/>
              </w:trPr>
              <w:tc>
                <w:tcPr>
                  <w:tcW w:w="2995" w:type="dxa"/>
                  <w:shd w:val="clear" w:color="auto" w:fill="auto"/>
                  <w:vAlign w:val="center"/>
                </w:tcPr>
                <w:p>
                  <w:pPr>
                    <w:widowControl/>
                    <w:spacing w:line="210" w:lineRule="atLeast"/>
                    <w:rPr>
                      <w:color w:val="000000"/>
                      <w:kern w:val="0"/>
                      <w:sz w:val="24"/>
                      <w:szCs w:val="24"/>
                      <w:highlight w:val="yellow"/>
                      <w:lang w:bidi="ar"/>
                    </w:rPr>
                  </w:pPr>
                  <w:r>
                    <w:rPr>
                      <w:color w:val="000000"/>
                      <w:kern w:val="0"/>
                      <w:sz w:val="24"/>
                      <w:szCs w:val="24"/>
                      <w:lang w:bidi="ar"/>
                    </w:rPr>
                    <w:t>Teton</w:t>
                  </w:r>
                </w:p>
              </w:tc>
              <w:tc>
                <w:tcPr>
                  <w:tcW w:w="3619" w:type="dxa"/>
                  <w:shd w:val="clear" w:color="auto" w:fill="auto"/>
                  <w:vAlign w:val="center"/>
                </w:tcPr>
                <w:p>
                  <w:pPr>
                    <w:widowControl/>
                    <w:spacing w:line="210" w:lineRule="atLeast"/>
                    <w:rPr>
                      <w:color w:val="000000"/>
                      <w:sz w:val="24"/>
                      <w:szCs w:val="24"/>
                      <w:highlight w:val="yellow"/>
                    </w:rPr>
                  </w:pPr>
                  <w:r>
                    <w:rPr>
                      <w:color w:val="000000"/>
                      <w:kern w:val="0"/>
                      <w:sz w:val="24"/>
                      <w:szCs w:val="24"/>
                      <w:lang w:bidi="ar"/>
                    </w:rPr>
                    <w:t>Sean Brown</w:t>
                  </w:r>
                </w:p>
              </w:tc>
            </w:tr>
            <w:tr>
              <w:tblPrEx>
                <w:tblLayout w:type="fixed"/>
                <w:tblCellMar>
                  <w:top w:w="15" w:type="dxa"/>
                  <w:left w:w="15" w:type="dxa"/>
                  <w:bottom w:w="15" w:type="dxa"/>
                  <w:right w:w="15" w:type="dxa"/>
                </w:tblCellMar>
              </w:tblPrEx>
              <w:trPr>
                <w:trHeight w:val="191" w:hRule="atLeast"/>
              </w:trPr>
              <w:tc>
                <w:tcPr>
                  <w:tcW w:w="2995" w:type="dxa"/>
                  <w:vAlign w:val="center"/>
                </w:tcPr>
                <w:p>
                  <w:pPr>
                    <w:widowControl/>
                    <w:spacing w:line="210" w:lineRule="atLeast"/>
                    <w:rPr>
                      <w:color w:val="000000"/>
                      <w:kern w:val="0"/>
                      <w:sz w:val="24"/>
                      <w:szCs w:val="24"/>
                      <w:highlight w:val="yellow"/>
                      <w:lang w:bidi="ar"/>
                    </w:rPr>
                  </w:pPr>
                  <w:r>
                    <w:rPr>
                      <w:color w:val="000000"/>
                      <w:kern w:val="0"/>
                      <w:sz w:val="24"/>
                      <w:szCs w:val="24"/>
                      <w:lang w:bidi="ar"/>
                    </w:rPr>
                    <w:t>Trivest</w:t>
                  </w:r>
                </w:p>
              </w:tc>
              <w:tc>
                <w:tcPr>
                  <w:tcW w:w="3619" w:type="dxa"/>
                  <w:vAlign w:val="center"/>
                </w:tcPr>
                <w:p>
                  <w:pPr>
                    <w:widowControl/>
                    <w:spacing w:line="210" w:lineRule="atLeast"/>
                    <w:rPr>
                      <w:color w:val="000000"/>
                      <w:sz w:val="24"/>
                      <w:szCs w:val="24"/>
                      <w:highlight w:val="yellow"/>
                    </w:rPr>
                  </w:pPr>
                  <w:r>
                    <w:rPr>
                      <w:color w:val="000000"/>
                      <w:kern w:val="0"/>
                      <w:sz w:val="24"/>
                      <w:szCs w:val="24"/>
                      <w:lang w:bidi="ar"/>
                    </w:rPr>
                    <w:t>Lu Sun　</w:t>
                  </w:r>
                </w:p>
              </w:tc>
            </w:tr>
            <w:tr>
              <w:tblPrEx>
                <w:tblLayout w:type="fixed"/>
                <w:tblCellMar>
                  <w:top w:w="15" w:type="dxa"/>
                  <w:left w:w="15" w:type="dxa"/>
                  <w:bottom w:w="15" w:type="dxa"/>
                  <w:right w:w="15" w:type="dxa"/>
                </w:tblCellMar>
              </w:tblPrEx>
              <w:trPr>
                <w:trHeight w:val="191" w:hRule="atLeast"/>
              </w:trPr>
              <w:tc>
                <w:tcPr>
                  <w:tcW w:w="2995" w:type="dxa"/>
                  <w:vAlign w:val="center"/>
                </w:tcPr>
                <w:p>
                  <w:pPr>
                    <w:widowControl/>
                    <w:spacing w:line="210" w:lineRule="atLeast"/>
                    <w:rPr>
                      <w:color w:val="000000"/>
                      <w:kern w:val="0"/>
                      <w:sz w:val="24"/>
                      <w:szCs w:val="24"/>
                      <w:highlight w:val="yellow"/>
                      <w:lang w:bidi="ar"/>
                    </w:rPr>
                  </w:pPr>
                  <w:r>
                    <w:rPr>
                      <w:color w:val="000000"/>
                      <w:kern w:val="0"/>
                      <w:sz w:val="24"/>
                      <w:szCs w:val="24"/>
                      <w:lang w:bidi="ar"/>
                    </w:rPr>
                    <w:t>Wasatch Advisors</w:t>
                  </w:r>
                </w:p>
              </w:tc>
              <w:tc>
                <w:tcPr>
                  <w:tcW w:w="3619" w:type="dxa"/>
                  <w:vAlign w:val="center"/>
                </w:tcPr>
                <w:p>
                  <w:pPr>
                    <w:widowControl/>
                    <w:spacing w:line="210" w:lineRule="atLeast"/>
                    <w:rPr>
                      <w:color w:val="000000"/>
                      <w:sz w:val="24"/>
                      <w:szCs w:val="24"/>
                      <w:highlight w:val="yellow"/>
                    </w:rPr>
                  </w:pPr>
                  <w:r>
                    <w:rPr>
                      <w:color w:val="000000"/>
                      <w:kern w:val="0"/>
                      <w:sz w:val="24"/>
                      <w:szCs w:val="24"/>
                      <w:lang w:bidi="ar"/>
                    </w:rPr>
                    <w:t>Allison He</w:t>
                  </w:r>
                </w:p>
              </w:tc>
            </w:tr>
            <w:tr>
              <w:tblPrEx>
                <w:tblLayout w:type="fixed"/>
                <w:tblCellMar>
                  <w:top w:w="15" w:type="dxa"/>
                  <w:left w:w="15" w:type="dxa"/>
                  <w:bottom w:w="15" w:type="dxa"/>
                  <w:right w:w="15" w:type="dxa"/>
                </w:tblCellMar>
              </w:tblPrEx>
              <w:trPr>
                <w:trHeight w:val="191" w:hRule="atLeast"/>
              </w:trPr>
              <w:tc>
                <w:tcPr>
                  <w:tcW w:w="2995" w:type="dxa"/>
                  <w:vAlign w:val="center"/>
                </w:tcPr>
                <w:p>
                  <w:pPr>
                    <w:widowControl/>
                    <w:spacing w:line="210" w:lineRule="atLeast"/>
                    <w:rPr>
                      <w:color w:val="000000"/>
                      <w:kern w:val="0"/>
                      <w:sz w:val="24"/>
                      <w:szCs w:val="24"/>
                      <w:highlight w:val="yellow"/>
                      <w:lang w:bidi="ar"/>
                    </w:rPr>
                  </w:pPr>
                  <w:r>
                    <w:rPr>
                      <w:color w:val="000000"/>
                      <w:kern w:val="0"/>
                      <w:sz w:val="24"/>
                      <w:szCs w:val="24"/>
                      <w:lang w:bidi="ar"/>
                    </w:rPr>
                    <w:t>Westwood</w:t>
                  </w:r>
                </w:p>
              </w:tc>
              <w:tc>
                <w:tcPr>
                  <w:tcW w:w="3619" w:type="dxa"/>
                  <w:vAlign w:val="center"/>
                </w:tcPr>
                <w:p>
                  <w:pPr>
                    <w:widowControl/>
                    <w:spacing w:line="210" w:lineRule="atLeast"/>
                    <w:rPr>
                      <w:color w:val="000000"/>
                      <w:sz w:val="24"/>
                      <w:szCs w:val="24"/>
                      <w:highlight w:val="yellow"/>
                    </w:rPr>
                  </w:pPr>
                  <w:r>
                    <w:rPr>
                      <w:color w:val="000000"/>
                      <w:kern w:val="0"/>
                      <w:sz w:val="24"/>
                      <w:szCs w:val="24"/>
                      <w:lang w:bidi="ar"/>
                    </w:rPr>
                    <w:t>Rob Silgardo</w:t>
                  </w:r>
                </w:p>
              </w:tc>
            </w:tr>
          </w:tbl>
          <w:p>
            <w:pP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时间</w:t>
            </w:r>
          </w:p>
        </w:tc>
        <w:tc>
          <w:tcPr>
            <w:tcW w:w="6395" w:type="dxa"/>
          </w:tcPr>
          <w:p>
            <w:pPr>
              <w:spacing w:before="50" w:after="50" w:line="360" w:lineRule="auto"/>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rPr>
              <w:t>19年5月13日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地点</w:t>
            </w:r>
          </w:p>
        </w:tc>
        <w:tc>
          <w:tcPr>
            <w:tcW w:w="6395" w:type="dxa"/>
          </w:tcPr>
          <w:p>
            <w:pPr>
              <w:spacing w:before="50" w:after="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北京中关村皇冠假日酒店四楼多功能会议厅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上市公司接待人员姓名</w:t>
            </w:r>
          </w:p>
        </w:tc>
        <w:tc>
          <w:tcPr>
            <w:tcW w:w="6395" w:type="dxa"/>
            <w:vAlign w:val="center"/>
          </w:tcPr>
          <w:p>
            <w:pPr>
              <w:spacing w:before="50" w:after="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董事长薛向东、董事会秘书杨健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2127" w:type="dxa"/>
            <w:vAlign w:val="center"/>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投资者关系活动主要内容介绍</w:t>
            </w:r>
          </w:p>
          <w:p>
            <w:pPr>
              <w:spacing w:before="50" w:after="50" w:line="360" w:lineRule="auto"/>
              <w:ind w:firstLine="470" w:firstLineChars="196"/>
              <w:jc w:val="left"/>
              <w:rPr>
                <w:rFonts w:cs="宋体" w:asciiTheme="minorEastAsia" w:hAnsiTheme="minorEastAsia" w:eastAsiaTheme="minorEastAsia"/>
                <w:sz w:val="24"/>
                <w:szCs w:val="24"/>
              </w:rPr>
            </w:pPr>
          </w:p>
        </w:tc>
        <w:tc>
          <w:tcPr>
            <w:tcW w:w="6395" w:type="dxa"/>
          </w:tcPr>
          <w:p>
            <w:pPr>
              <w:spacing w:line="360" w:lineRule="auto"/>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一、公司介绍</w:t>
            </w:r>
          </w:p>
          <w:p>
            <w:pPr>
              <w:spacing w:before="156" w:beforeLines="50" w:after="156"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东华软件长期专注于综合性行业应用软件开发、计算机信息系统集成和信息技术服务，为客户持续提供行业整体解决方案和长期信息化服务。公司紧贴国家政策指导和公司战略发展需求，在坚持对行业客户深耕细作的基础上，加大对新兴技术的研发投入与人才引进，继续巩固公司市场竞争力，不断提升公司的创新能力和服务质量，加速转型升级。</w:t>
            </w:r>
          </w:p>
          <w:p>
            <w:pPr>
              <w:spacing w:before="156" w:beforeLines="50" w:after="156"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董事会秘书杨健</w:t>
            </w:r>
            <w:r>
              <w:rPr>
                <w:rFonts w:hint="eastAsia" w:asciiTheme="minorEastAsia" w:hAnsiTheme="minorEastAsia" w:eastAsiaTheme="minorEastAsia"/>
                <w:sz w:val="24"/>
                <w:szCs w:val="24"/>
                <w:lang w:val="en-US" w:eastAsia="zh-CN"/>
              </w:rPr>
              <w:t>就2018年年报的财务情况进行了解读，并</w:t>
            </w:r>
            <w:r>
              <w:rPr>
                <w:rFonts w:hint="eastAsia" w:asciiTheme="minorEastAsia" w:hAnsiTheme="minorEastAsia" w:eastAsiaTheme="minorEastAsia"/>
                <w:sz w:val="24"/>
                <w:szCs w:val="24"/>
              </w:rPr>
              <w:t>介绍了公司2018年在医疗、智慧城市、金融、能源电力等板块的发展情况。此外，</w:t>
            </w:r>
            <w:r>
              <w:rPr>
                <w:rFonts w:hint="eastAsia" w:asciiTheme="minorEastAsia" w:hAnsiTheme="minorEastAsia" w:eastAsiaTheme="minorEastAsia"/>
                <w:sz w:val="24"/>
                <w:szCs w:val="24"/>
                <w:lang w:val="en-US" w:eastAsia="zh-CN"/>
              </w:rPr>
              <w:t>董事长薛向东</w:t>
            </w:r>
            <w:r>
              <w:rPr>
                <w:rFonts w:hint="eastAsia" w:asciiTheme="minorEastAsia" w:hAnsiTheme="minorEastAsia" w:eastAsiaTheme="minorEastAsia"/>
                <w:sz w:val="24"/>
                <w:szCs w:val="24"/>
              </w:rPr>
              <w:t>就与腾讯业务层面合作的进展进行了详细介绍</w:t>
            </w:r>
            <w:r>
              <w:rPr>
                <w:rFonts w:hint="eastAsia" w:asciiTheme="minorEastAsia" w:hAnsiTheme="minorEastAsia" w:eastAsiaTheme="minorEastAsia"/>
                <w:sz w:val="24"/>
                <w:szCs w:val="24"/>
                <w:lang w:val="en-US" w:eastAsia="zh-CN"/>
              </w:rPr>
              <w:t>、对</w:t>
            </w:r>
            <w:r>
              <w:rPr>
                <w:rFonts w:hint="eastAsia" w:asciiTheme="minorEastAsia" w:hAnsiTheme="minorEastAsia" w:eastAsiaTheme="minorEastAsia"/>
                <w:sz w:val="24"/>
                <w:szCs w:val="24"/>
              </w:rPr>
              <w:t>内部管理等相关问题逐一进行了解答，并对未来行业的发展及公司面临的机遇进行展望。</w:t>
            </w:r>
          </w:p>
          <w:p>
            <w:pPr>
              <w:spacing w:before="156" w:beforeLines="50" w:after="156" w:afterLines="50" w:line="360" w:lineRule="auto"/>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二、问题反馈</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问题一：请介绍一下公司2018年整体经营状况？</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整体来说，公司2018年经营情况向好。</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财务</w:t>
            </w:r>
            <w:r>
              <w:rPr>
                <w:rFonts w:hint="eastAsia" w:asciiTheme="minorEastAsia" w:hAnsiTheme="minorEastAsia" w:eastAsiaTheme="minorEastAsia"/>
                <w:sz w:val="24"/>
                <w:szCs w:val="22"/>
                <w:lang w:val="en-US" w:eastAsia="zh-CN"/>
              </w:rPr>
              <w:t>方</w:t>
            </w:r>
            <w:r>
              <w:rPr>
                <w:rFonts w:hint="eastAsia" w:asciiTheme="minorEastAsia" w:hAnsiTheme="minorEastAsia" w:eastAsiaTheme="minorEastAsia"/>
                <w:sz w:val="24"/>
                <w:szCs w:val="22"/>
              </w:rPr>
              <w:t>面，公司实现营业收入84.71亿元，比上年同期增长16.19%；归属上市公司股东的净利润为8.06亿元，比上年同期增长21.48%；经营现金流净额为3.51亿元，同比增长109.60%。同时，公司的每股收益和加权平均净资产收益率较去年均有显著增长。</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业务方面</w:t>
            </w:r>
            <w:r>
              <w:rPr>
                <w:rFonts w:hint="eastAsia" w:asciiTheme="minorEastAsia" w:hAnsiTheme="minorEastAsia" w:eastAsiaTheme="minorEastAsia"/>
                <w:sz w:val="24"/>
                <w:szCs w:val="22"/>
              </w:rPr>
              <w:t>，公司业务主要涉及医疗、金融、智慧城市、能源电力、政府等行业，各细分行业的营收均呈上升趋势，尤其是医疗和金融行业营收增幅显著。此外，公司在2018年度与腾讯在智慧医疗、智慧城市和智慧金融等领域展开深度战略合作并取得了重大进展，如医疗板块的“一链三云”战略和六大解决方案；智慧城市板块的“Harrydata”大数据平台和“东华智慧城市超级大脑”等产品；金融板块的金融智汇平台。</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内部管理</w:t>
            </w:r>
            <w:r>
              <w:rPr>
                <w:rFonts w:hint="eastAsia" w:asciiTheme="minorEastAsia" w:hAnsiTheme="minorEastAsia" w:eastAsiaTheme="minorEastAsia"/>
                <w:sz w:val="24"/>
                <w:szCs w:val="22"/>
                <w:lang w:val="en-US" w:eastAsia="zh-CN"/>
              </w:rPr>
              <w:t>方</w:t>
            </w:r>
            <w:r>
              <w:rPr>
                <w:rFonts w:hint="eastAsia" w:asciiTheme="minorEastAsia" w:hAnsiTheme="minorEastAsia" w:eastAsiaTheme="minorEastAsia"/>
                <w:sz w:val="24"/>
                <w:szCs w:val="22"/>
              </w:rPr>
              <w:t>面，公司注重对人才培养，通过员工持股和</w:t>
            </w:r>
            <w:r>
              <w:rPr>
                <w:rFonts w:hint="eastAsia" w:asciiTheme="minorEastAsia" w:hAnsiTheme="minorEastAsia" w:eastAsiaTheme="minorEastAsia"/>
                <w:sz w:val="24"/>
                <w:szCs w:val="22"/>
                <w:lang w:val="en-US" w:eastAsia="zh-CN"/>
              </w:rPr>
              <w:t>大股东</w:t>
            </w:r>
            <w:r>
              <w:rPr>
                <w:rFonts w:hint="eastAsia" w:asciiTheme="minorEastAsia" w:hAnsiTheme="minorEastAsia" w:eastAsiaTheme="minorEastAsia"/>
                <w:sz w:val="24"/>
                <w:szCs w:val="22"/>
              </w:rPr>
              <w:t>保底增持计划</w:t>
            </w:r>
            <w:r>
              <w:rPr>
                <w:rFonts w:hint="eastAsia" w:asciiTheme="minorEastAsia" w:hAnsiTheme="minorEastAsia" w:eastAsiaTheme="minorEastAsia"/>
                <w:sz w:val="24"/>
                <w:szCs w:val="22"/>
                <w:lang w:val="en-US" w:eastAsia="zh-CN"/>
              </w:rPr>
              <w:t>对</w:t>
            </w:r>
            <w:r>
              <w:rPr>
                <w:rFonts w:hint="eastAsia" w:asciiTheme="minorEastAsia" w:hAnsiTheme="minorEastAsia" w:eastAsiaTheme="minorEastAsia"/>
                <w:sz w:val="24"/>
                <w:szCs w:val="22"/>
              </w:rPr>
              <w:t>员工</w:t>
            </w:r>
            <w:r>
              <w:rPr>
                <w:rFonts w:hint="eastAsia" w:asciiTheme="minorEastAsia" w:hAnsiTheme="minorEastAsia" w:eastAsiaTheme="minorEastAsia"/>
                <w:sz w:val="24"/>
                <w:szCs w:val="22"/>
                <w:lang w:val="en-US" w:eastAsia="zh-CN"/>
              </w:rPr>
              <w:t>进行激励</w:t>
            </w:r>
            <w:r>
              <w:rPr>
                <w:rFonts w:hint="eastAsia" w:asciiTheme="minorEastAsia" w:hAnsiTheme="minorEastAsia" w:eastAsiaTheme="minorEastAsia"/>
                <w:sz w:val="24"/>
                <w:szCs w:val="22"/>
              </w:rPr>
              <w:t>，使员工充分释放个人能力。此外，公司加强内部管理，实施管理创新、业务创新，并对不同维度的业务结构进行适时调整。</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问题二：公司如何在当前新形势下保持竞争优势？</w:t>
            </w:r>
          </w:p>
          <w:p>
            <w:pPr>
              <w:spacing w:line="360" w:lineRule="auto"/>
              <w:ind w:firstLine="480" w:firstLineChars="200"/>
              <w:rPr>
                <w:rFonts w:hint="eastAsia"/>
                <w:sz w:val="24"/>
                <w:szCs w:val="24"/>
              </w:rPr>
            </w:pPr>
            <w:r>
              <w:rPr>
                <w:rFonts w:hint="eastAsia" w:asciiTheme="minorEastAsia" w:hAnsiTheme="minorEastAsia" w:eastAsiaTheme="minorEastAsia"/>
                <w:sz w:val="24"/>
                <w:szCs w:val="24"/>
              </w:rPr>
              <w:t>首先，公司作为大型的综合性行业应用软件开发、计算机系统集成和信息技术服务提供商，不断优化升级产品与服务。当前新形势下，公司通过不断优化</w:t>
            </w:r>
            <w:r>
              <w:rPr>
                <w:rFonts w:hint="eastAsia"/>
                <w:sz w:val="24"/>
                <w:szCs w:val="24"/>
              </w:rPr>
              <w:t>平台化</w:t>
            </w:r>
            <w:r>
              <w:rPr>
                <w:sz w:val="24"/>
                <w:szCs w:val="24"/>
              </w:rPr>
              <w:t>、</w:t>
            </w:r>
            <w:r>
              <w:rPr>
                <w:rFonts w:hint="eastAsia"/>
                <w:sz w:val="24"/>
                <w:szCs w:val="24"/>
              </w:rPr>
              <w:t>云化</w:t>
            </w:r>
            <w:r>
              <w:rPr>
                <w:sz w:val="24"/>
                <w:szCs w:val="24"/>
              </w:rPr>
              <w:t>、</w:t>
            </w:r>
            <w:r>
              <w:rPr>
                <w:rFonts w:hint="eastAsia"/>
                <w:sz w:val="24"/>
                <w:szCs w:val="24"/>
              </w:rPr>
              <w:t>互联网化</w:t>
            </w:r>
            <w:r>
              <w:rPr>
                <w:sz w:val="24"/>
                <w:szCs w:val="24"/>
              </w:rPr>
              <w:t>软件</w:t>
            </w:r>
            <w:r>
              <w:rPr>
                <w:rFonts w:hint="eastAsia"/>
                <w:sz w:val="24"/>
                <w:szCs w:val="24"/>
              </w:rPr>
              <w:t>，</w:t>
            </w:r>
            <w:r>
              <w:rPr>
                <w:rFonts w:hint="eastAsia" w:asciiTheme="minorEastAsia" w:hAnsiTheme="minorEastAsia" w:eastAsiaTheme="minorEastAsia"/>
                <w:sz w:val="24"/>
                <w:szCs w:val="24"/>
              </w:rPr>
              <w:t>加大在新兴领域的研发投入和对优秀人才的培养，</w:t>
            </w:r>
            <w:r>
              <w:rPr>
                <w:rFonts w:hint="eastAsia"/>
                <w:sz w:val="24"/>
                <w:szCs w:val="24"/>
              </w:rPr>
              <w:t>挖掘更有价值</w:t>
            </w:r>
            <w:r>
              <w:rPr>
                <w:sz w:val="24"/>
                <w:szCs w:val="24"/>
              </w:rPr>
              <w:t>的数据提供给用户</w:t>
            </w:r>
            <w:r>
              <w:rPr>
                <w:rFonts w:hint="eastAsia"/>
                <w:sz w:val="24"/>
                <w:szCs w:val="24"/>
              </w:rPr>
              <w:t>。</w:t>
            </w:r>
          </w:p>
          <w:p>
            <w:pPr>
              <w:spacing w:line="360" w:lineRule="auto"/>
              <w:ind w:firstLine="480" w:firstLineChars="200"/>
              <w:rPr>
                <w:rFonts w:hint="eastAsia"/>
              </w:rPr>
            </w:pPr>
            <w:r>
              <w:rPr>
                <w:rFonts w:hint="eastAsia"/>
                <w:sz w:val="24"/>
                <w:szCs w:val="24"/>
              </w:rPr>
              <w:t>其次，基于</w:t>
            </w:r>
            <w:r>
              <w:rPr>
                <w:rFonts w:hint="eastAsia" w:asciiTheme="minorEastAsia" w:hAnsiTheme="minorEastAsia" w:eastAsiaTheme="minorEastAsia"/>
                <w:sz w:val="24"/>
                <w:szCs w:val="24"/>
              </w:rPr>
              <w:t>人工智能、大数据及区块链等新兴技术，逐步完善在智慧医疗、智慧金融、智慧城市等重点领域的业务布局和技术创新，保持核心竞争优势的同时逐步实现向云服务商的转型。同时，</w:t>
            </w:r>
            <w:r>
              <w:rPr>
                <w:rFonts w:hint="eastAsia" w:asciiTheme="minorEastAsia" w:hAnsiTheme="minorEastAsia" w:eastAsiaTheme="minorEastAsia"/>
                <w:sz w:val="24"/>
                <w:szCs w:val="22"/>
              </w:rPr>
              <w:t>公司强化内部治理、完善员工激励制度，实现各部门间高效协同工作。</w:t>
            </w:r>
          </w:p>
          <w:p>
            <w:pPr>
              <w:spacing w:before="156" w:beforeLines="50" w:after="156" w:afterLines="50" w:line="360" w:lineRule="auto"/>
              <w:ind w:firstLine="420"/>
              <w:rPr>
                <w:rFonts w:asciiTheme="minorEastAsia" w:hAnsiTheme="minorEastAsia" w:eastAsiaTheme="minorEastAsia"/>
                <w:b/>
                <w:sz w:val="24"/>
                <w:szCs w:val="22"/>
              </w:rPr>
            </w:pPr>
            <w:r>
              <w:rPr>
                <w:rFonts w:hint="eastAsia" w:asciiTheme="minorEastAsia" w:hAnsiTheme="minorEastAsia" w:eastAsiaTheme="minorEastAsia"/>
                <w:b/>
                <w:sz w:val="24"/>
                <w:szCs w:val="22"/>
              </w:rPr>
              <w:t>问题三：请介绍下公司智慧城市板块的竞争优势？</w:t>
            </w:r>
          </w:p>
          <w:p>
            <w:pPr>
              <w:spacing w:before="156" w:beforeLines="50" w:after="156" w:afterLines="50" w:line="360" w:lineRule="auto"/>
              <w:ind w:firstLine="420"/>
              <w:rPr>
                <w:rFonts w:asciiTheme="minorEastAsia" w:hAnsiTheme="minorEastAsia" w:eastAsiaTheme="minorEastAsia"/>
                <w:bCs/>
                <w:sz w:val="24"/>
                <w:szCs w:val="22"/>
              </w:rPr>
            </w:pPr>
            <w:r>
              <w:rPr>
                <w:rFonts w:hint="eastAsia" w:asciiTheme="minorEastAsia" w:hAnsiTheme="minorEastAsia" w:eastAsiaTheme="minorEastAsia"/>
                <w:bCs/>
                <w:sz w:val="24"/>
                <w:szCs w:val="22"/>
              </w:rPr>
              <w:t>当前，中国各城市信息孤岛现象严重，内部数据无法完全共享，城市营运潜能无法得到充分发挥。</w:t>
            </w:r>
          </w:p>
          <w:p>
            <w:pPr>
              <w:spacing w:before="156" w:beforeLines="50" w:after="156" w:afterLines="50" w:line="360" w:lineRule="auto"/>
              <w:ind w:firstLine="420"/>
              <w:rPr>
                <w:rFonts w:asciiTheme="minorEastAsia" w:hAnsiTheme="minorEastAsia" w:eastAsiaTheme="minorEastAsia"/>
                <w:bCs/>
                <w:sz w:val="24"/>
                <w:szCs w:val="22"/>
              </w:rPr>
            </w:pPr>
            <w:r>
              <w:rPr>
                <w:rFonts w:hint="eastAsia" w:asciiTheme="minorEastAsia" w:hAnsiTheme="minorEastAsia" w:eastAsiaTheme="minorEastAsia"/>
                <w:bCs/>
                <w:sz w:val="24"/>
                <w:szCs w:val="22"/>
              </w:rPr>
              <w:t>公司的软件应用与服务覆盖大多数部委及中央企业，其中包括智慧医疗、智慧政务、智慧水利等25个以上的行业解决方案都可以应用于智慧城市建设，充分发挥了公司在各领域的技术优势和行业优势。</w:t>
            </w:r>
          </w:p>
          <w:p>
            <w:pPr>
              <w:spacing w:before="156" w:beforeLines="50" w:after="156" w:afterLines="50" w:line="360" w:lineRule="auto"/>
              <w:ind w:firstLine="420"/>
              <w:rPr>
                <w:rFonts w:asciiTheme="minorEastAsia" w:hAnsiTheme="minorEastAsia" w:eastAsiaTheme="minorEastAsia"/>
                <w:bCs/>
                <w:sz w:val="24"/>
                <w:szCs w:val="22"/>
              </w:rPr>
            </w:pPr>
            <w:r>
              <w:rPr>
                <w:rFonts w:hint="eastAsia" w:asciiTheme="minorEastAsia" w:hAnsiTheme="minorEastAsia" w:eastAsiaTheme="minorEastAsia"/>
                <w:bCs/>
                <w:sz w:val="24"/>
                <w:szCs w:val="22"/>
              </w:rPr>
              <w:t>公司的智慧城市解决方案旨在打通整个城市的信息共享，推进信息化智慧城市的建设，如公司的智慧城市集团携手腾讯云推出城市超级大脑，通过实时连通和分析城市数据，提升城市运营效率和民众生活体验。公司智慧城市方面的优秀案例有广泛部署于多省公安系统的公安大数据、应用范围广泛的智慧水利系统、与政府端合作的企业微信小程序等。</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问题四：请介绍下金融板块的软件产品情况以及未来发展规划？</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 xml:space="preserve">公司金融板块所研发的产品旨在为客户提供全套解决方案，包括信贷、绩效考核、财务大总账、反洗钱等功能，且软件适用性较强，轻松实现和绝大多数银行的业务对接。2018年度，公司金融板块营收占年度营收总额的50%，业务范围主要集中在传统银行业务、互联网金融、云托管、金融信贷、融资租赁和投融资等领域。此外，公司不但拥有传统四大银行的客户资源，而且已扩大到村镇银行级别。 </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公司征信系统和反洗钱系统拥有较强的技术实力，且业务成熟。在央行的政策支持下，征信系统和反洗钱系统未来发展态势良好，为公司金融业务发展提供了机遇。未来，公司将依托已有的技术优势和实践经验，加大对征信和反洗钱系统的研发力度和布局广度，通过与人工智能、大数据、云计算等新兴技术地有机结合，继续面向商业银行及其他金融类机构等提供优秀的产品和服务。</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问题五： 公司医疗板块在未来是否会增速发展？</w:t>
            </w:r>
          </w:p>
          <w:p>
            <w:pPr>
              <w:spacing w:before="156" w:beforeLines="50" w:after="156" w:afterLines="50" w:line="360" w:lineRule="auto"/>
              <w:ind w:firstLine="42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从宏观角度来看，当前多方向的投资主体（如民营企业、保险公司）纷纷投资与兴建新医院，医保支付、电子病历、DRGs 试点等医改政策的落地为行业发展创造了全新的技术挑战与发展机遇。目前，医疗市场整体的信息化需求不断增大，整体行业年化增速预计会在30%左右。</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公司作为医院信息化行业的领军服务商，依托成熟的技术与丰富的经验以及提供全方位解决方案的能力，将捕捉医疗信息化需求带来的大量市场份额；同时“一链三云”战略的落地与应用与卫健委提出的500家县级医共体和100家医疗集团的建设规划，将为公司医疗领域的业务带来更多的机遇和盈利增长点。未来，公司的医疗领域业务会加速发展。</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问题六：公司医疗板块目前市场占有率如何？</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公司目前有500余家医疗客户，其中300多家为三甲医院，</w:t>
            </w:r>
            <w:r>
              <w:rPr>
                <w:rFonts w:hint="eastAsia" w:asciiTheme="minorEastAsia" w:hAnsiTheme="minorEastAsia" w:eastAsiaTheme="minorEastAsia"/>
                <w:sz w:val="24"/>
                <w:szCs w:val="22"/>
                <w:lang w:val="en-US" w:eastAsia="zh-CN"/>
              </w:rPr>
              <w:t>在</w:t>
            </w:r>
            <w:r>
              <w:rPr>
                <w:rFonts w:hint="eastAsia" w:asciiTheme="minorEastAsia" w:hAnsiTheme="minorEastAsia" w:eastAsiaTheme="minorEastAsia"/>
                <w:sz w:val="24"/>
                <w:szCs w:val="22"/>
              </w:rPr>
              <w:t>包括北京协和医院、华西医院等前百强的医院中</w:t>
            </w:r>
            <w:r>
              <w:rPr>
                <w:rFonts w:hint="eastAsia" w:asciiTheme="minorEastAsia" w:hAnsiTheme="minorEastAsia" w:eastAsiaTheme="minorEastAsia"/>
                <w:sz w:val="24"/>
                <w:szCs w:val="22"/>
                <w:lang w:val="en-US" w:eastAsia="zh-CN"/>
              </w:rPr>
              <w:t>市场占有率约为30%</w:t>
            </w:r>
            <w:bookmarkStart w:id="0" w:name="_GoBack"/>
            <w:bookmarkEnd w:id="0"/>
            <w:r>
              <w:rPr>
                <w:rFonts w:hint="eastAsia" w:asciiTheme="minorEastAsia" w:hAnsiTheme="minorEastAsia" w:eastAsiaTheme="minorEastAsia"/>
                <w:sz w:val="24"/>
                <w:szCs w:val="22"/>
              </w:rPr>
              <w:t>。</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公司医疗领域主要采用的Cache数据库，该数据库在西方国家的医院已被广泛使用，而Cache数据库本身也很符合医院的发展情况和应用需求，在市场上广受好评。</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 xml:space="preserve">问题七：公司是否考虑发展适合新形势的C端互联网产品？ </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公司对C端互联网产品的发展已有投入和落地，如医疗方面的健康乐、智慧城市方面与腾讯协作的“一部手机游云南”、“腾讯数字广东”等产品。依托公司优质的技术与服务以及腾讯的平台优势和流量规模，预计未来公司C端的产品用户量和收入会有明显增幅。</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问题八：公司云化后是否会改善经营情况，以及对公司利润的影响？</w:t>
            </w:r>
          </w:p>
          <w:p>
            <w:pPr>
              <w:spacing w:before="156" w:beforeLines="50" w:after="156" w:afterLines="50" w:line="360" w:lineRule="auto"/>
              <w:ind w:firstLine="42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公司向云模式的转变会有效降低公司人才和硬件</w:t>
            </w:r>
            <w:r>
              <w:rPr>
                <w:rFonts w:hint="eastAsia" w:asciiTheme="minorEastAsia" w:hAnsiTheme="minorEastAsia" w:eastAsiaTheme="minorEastAsia"/>
                <w:sz w:val="24"/>
                <w:szCs w:val="22"/>
                <w:lang w:val="en-US" w:eastAsia="zh-CN"/>
              </w:rPr>
              <w:t>的</w:t>
            </w:r>
            <w:r>
              <w:rPr>
                <w:rFonts w:hint="eastAsia" w:asciiTheme="minorEastAsia" w:hAnsiTheme="minorEastAsia" w:eastAsiaTheme="minorEastAsia"/>
                <w:sz w:val="24"/>
                <w:szCs w:val="22"/>
              </w:rPr>
              <w:t>成本，提升公司的营运效率</w:t>
            </w:r>
            <w:r>
              <w:rPr>
                <w:rFonts w:hint="eastAsia" w:asciiTheme="minorEastAsia" w:hAnsiTheme="minorEastAsia" w:eastAsiaTheme="minorEastAsia"/>
                <w:sz w:val="24"/>
                <w:szCs w:val="22"/>
                <w:lang w:val="en-US" w:eastAsia="zh-CN"/>
              </w:rPr>
              <w:t>和整体</w:t>
            </w:r>
            <w:r>
              <w:rPr>
                <w:rFonts w:hint="eastAsia" w:asciiTheme="minorEastAsia" w:hAnsiTheme="minorEastAsia" w:eastAsiaTheme="minorEastAsia"/>
                <w:sz w:val="24"/>
                <w:szCs w:val="22"/>
              </w:rPr>
              <w:t>的利润率。</w:t>
            </w:r>
          </w:p>
          <w:p>
            <w:pPr>
              <w:spacing w:before="156" w:beforeLines="50" w:after="156" w:afterLines="50" w:line="360" w:lineRule="auto"/>
              <w:ind w:firstLine="420"/>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问题九：公司规模大、涉猎领域广，未来公司是否集中力量，专注于某一领域打造核心竞争力或对产品线及细分市场进行调整？</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rPr>
              <w:t>公司涉猎领域广是产业化和多元化的表现形式。公司自成立以来一直专注于软件研发，基于人工智能、大数据、云计算等新兴技术打造更完善的行业解决方案，为客户创造价值。</w:t>
            </w:r>
          </w:p>
          <w:p>
            <w:pPr>
              <w:spacing w:before="156" w:beforeLines="50" w:after="156" w:afterLines="50" w:line="360" w:lineRule="auto"/>
              <w:ind w:firstLine="420"/>
              <w:rPr>
                <w:rFonts w:hint="eastAsia" w:asciiTheme="minorEastAsia" w:hAnsiTheme="minorEastAsia" w:eastAsiaTheme="minorEastAsia"/>
                <w:sz w:val="24"/>
                <w:szCs w:val="22"/>
              </w:rPr>
            </w:pPr>
            <w:r>
              <w:rPr>
                <w:rFonts w:hint="eastAsia" w:asciiTheme="minorEastAsia" w:hAnsiTheme="minorEastAsia" w:eastAsiaTheme="minorEastAsia"/>
                <w:sz w:val="24"/>
                <w:szCs w:val="22"/>
              </w:rPr>
              <w:t>基于当前市场强有力的竞争态势，公司专注核心业务的软件开发，将研发经费高效运用到新技术的研发中，研发出灵活运用于多行业的技术，增强公司核心竞争力；在为多行业客户创造价值的同时，也有效地降低了研发成本的摊销。总体看来，当前的业务宽度适合公司的发展策略，有助于公司形成有效的研发投入和高效的市场推广。</w:t>
            </w:r>
          </w:p>
          <w:p>
            <w:pPr>
              <w:spacing w:before="156" w:beforeLines="50" w:after="156" w:afterLines="50" w:line="360" w:lineRule="auto"/>
              <w:ind w:firstLine="420"/>
              <w:rPr>
                <w:rFonts w:asciiTheme="minorEastAsia" w:hAnsiTheme="minorEastAsia" w:eastAsiaTheme="minorEastAsia"/>
                <w:b/>
                <w:sz w:val="24"/>
                <w:szCs w:val="22"/>
              </w:rPr>
            </w:pPr>
            <w:r>
              <w:rPr>
                <w:rFonts w:hint="eastAsia" w:asciiTheme="minorEastAsia" w:hAnsiTheme="minorEastAsia" w:eastAsiaTheme="minorEastAsia"/>
                <w:b/>
                <w:sz w:val="24"/>
                <w:szCs w:val="22"/>
              </w:rPr>
              <w:t>问题十：公司未来如何改善应收账款周转天数？</w:t>
            </w:r>
          </w:p>
          <w:p>
            <w:pPr>
              <w:spacing w:before="156" w:beforeLines="50" w:after="156" w:afterLines="50" w:line="360" w:lineRule="auto"/>
              <w:ind w:firstLine="420"/>
              <w:rPr>
                <w:rFonts w:asciiTheme="minorEastAsia" w:hAnsiTheme="minorEastAsia" w:eastAsiaTheme="minorEastAsia"/>
                <w:sz w:val="24"/>
                <w:szCs w:val="22"/>
              </w:rPr>
            </w:pPr>
            <w:r>
              <w:rPr>
                <w:rFonts w:hint="eastAsia" w:asciiTheme="minorEastAsia" w:hAnsiTheme="minorEastAsia" w:eastAsiaTheme="minorEastAsia"/>
                <w:sz w:val="24"/>
                <w:szCs w:val="22"/>
                <w:lang w:val="en-US" w:eastAsia="zh-CN"/>
              </w:rPr>
              <w:t>公司的客户多为大中型国有企事业单位</w:t>
            </w:r>
            <w:r>
              <w:rPr>
                <w:rFonts w:hint="eastAsia" w:asciiTheme="minorEastAsia" w:hAnsiTheme="minorEastAsia" w:eastAsiaTheme="minorEastAsia"/>
                <w:sz w:val="24"/>
                <w:szCs w:val="22"/>
              </w:rPr>
              <w:t>，</w:t>
            </w:r>
            <w:r>
              <w:rPr>
                <w:rFonts w:hint="eastAsia" w:asciiTheme="minorEastAsia" w:hAnsiTheme="minorEastAsia" w:eastAsiaTheme="minorEastAsia"/>
                <w:sz w:val="24"/>
                <w:szCs w:val="22"/>
                <w:lang w:val="en-US" w:eastAsia="zh-CN"/>
              </w:rPr>
              <w:t>主要客户群体资金相对稳定，进而导致应收账款的坏账率不高，故对公司财务不会造成重大负面影响</w:t>
            </w:r>
            <w:r>
              <w:rPr>
                <w:rFonts w:hint="eastAsia" w:asciiTheme="minorEastAsia" w:hAnsiTheme="minorEastAsia" w:eastAsiaTheme="minorEastAsia"/>
                <w:sz w:val="24"/>
                <w:szCs w:val="22"/>
              </w:rPr>
              <w:t>。此外，公司有一个专门负责应收账款的管理团队和相应的催收部门，该部门将应收账款与相应销售人员的绩效挂钩，坏账出现时销售人员的绩效会相应受到影响。结合内部努力与外部支持，公司未来应收账款的回款时间预期会缩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Align w:val="center"/>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附件清单（如有）</w:t>
            </w:r>
          </w:p>
        </w:tc>
        <w:tc>
          <w:tcPr>
            <w:tcW w:w="6395" w:type="dxa"/>
          </w:tcPr>
          <w:p>
            <w:pPr>
              <w:spacing w:before="50" w:after="50" w:line="360" w:lineRule="auto"/>
              <w:rPr>
                <w:rFonts w:asciiTheme="minorEastAsia" w:hAnsiTheme="minorEastAsia" w:eastAsiaTheme="minorEastAsia"/>
                <w:bCs/>
                <w:iCs/>
                <w:sz w:val="24"/>
                <w:szCs w:val="24"/>
              </w:rPr>
            </w:pPr>
            <w:r>
              <w:rPr>
                <w:rFonts w:hint="eastAsia" w:asciiTheme="minorEastAsia" w:hAnsiTheme="minorEastAsia" w:eastAsiaTheme="minorEastAsia"/>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Align w:val="center"/>
          </w:tcPr>
          <w:p>
            <w:pPr>
              <w:spacing w:before="50" w:after="50" w:line="360" w:lineRule="auto"/>
              <w:jc w:val="left"/>
              <w:rPr>
                <w:rFonts w:asciiTheme="minorEastAsia" w:hAnsiTheme="minorEastAsia" w:eastAsiaTheme="minorEastAsia"/>
                <w:b/>
                <w:bCs/>
                <w:iCs/>
                <w:sz w:val="24"/>
                <w:szCs w:val="24"/>
              </w:rPr>
            </w:pPr>
            <w:r>
              <w:rPr>
                <w:rFonts w:hint="eastAsia" w:asciiTheme="minorEastAsia" w:hAnsiTheme="minorEastAsia" w:eastAsiaTheme="minorEastAsia"/>
                <w:b/>
                <w:bCs/>
                <w:iCs/>
                <w:sz w:val="24"/>
                <w:szCs w:val="24"/>
              </w:rPr>
              <w:t>日期</w:t>
            </w:r>
          </w:p>
        </w:tc>
        <w:tc>
          <w:tcPr>
            <w:tcW w:w="6395" w:type="dxa"/>
          </w:tcPr>
          <w:p>
            <w:pPr>
              <w:spacing w:before="50" w:after="50" w:line="360" w:lineRule="auto"/>
              <w:rPr>
                <w:rFonts w:asciiTheme="minorEastAsia" w:hAnsiTheme="minorEastAsia" w:eastAsiaTheme="minorEastAsia"/>
                <w:bCs/>
                <w:iCs/>
                <w:sz w:val="24"/>
                <w:szCs w:val="24"/>
              </w:rPr>
            </w:pPr>
            <w:r>
              <w:rPr>
                <w:rFonts w:asciiTheme="minorEastAsia" w:hAnsiTheme="minorEastAsia" w:eastAsiaTheme="minorEastAsia"/>
                <w:bCs/>
                <w:iCs/>
                <w:sz w:val="24"/>
                <w:szCs w:val="24"/>
              </w:rPr>
              <w:t>201</w:t>
            </w:r>
            <w:r>
              <w:rPr>
                <w:rFonts w:hint="eastAsia" w:asciiTheme="minorEastAsia" w:hAnsiTheme="minorEastAsia" w:eastAsiaTheme="minorEastAsia"/>
                <w:bCs/>
                <w:iCs/>
                <w:sz w:val="24"/>
                <w:szCs w:val="24"/>
              </w:rPr>
              <w:t>9年5月13日</w:t>
            </w:r>
          </w:p>
        </w:tc>
      </w:tr>
    </w:tbl>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20"/>
    <w:rsid w:val="00002699"/>
    <w:rsid w:val="00012015"/>
    <w:rsid w:val="000340B2"/>
    <w:rsid w:val="00037905"/>
    <w:rsid w:val="0005593D"/>
    <w:rsid w:val="00060219"/>
    <w:rsid w:val="000801E8"/>
    <w:rsid w:val="00087D9F"/>
    <w:rsid w:val="000A6B65"/>
    <w:rsid w:val="000B5900"/>
    <w:rsid w:val="000C38C8"/>
    <w:rsid w:val="000C49C7"/>
    <w:rsid w:val="000C5D43"/>
    <w:rsid w:val="000C6686"/>
    <w:rsid w:val="000D03E5"/>
    <w:rsid w:val="0011121F"/>
    <w:rsid w:val="00115219"/>
    <w:rsid w:val="00123B9C"/>
    <w:rsid w:val="00136471"/>
    <w:rsid w:val="00141489"/>
    <w:rsid w:val="00182F53"/>
    <w:rsid w:val="001C524E"/>
    <w:rsid w:val="001E0F3C"/>
    <w:rsid w:val="001E3FEA"/>
    <w:rsid w:val="00200BAC"/>
    <w:rsid w:val="00204A9F"/>
    <w:rsid w:val="00206BD8"/>
    <w:rsid w:val="0020768C"/>
    <w:rsid w:val="002129F1"/>
    <w:rsid w:val="0024564D"/>
    <w:rsid w:val="00245691"/>
    <w:rsid w:val="00251CC8"/>
    <w:rsid w:val="00252F01"/>
    <w:rsid w:val="002573C6"/>
    <w:rsid w:val="00274E63"/>
    <w:rsid w:val="00276FA3"/>
    <w:rsid w:val="0028084C"/>
    <w:rsid w:val="00282A1B"/>
    <w:rsid w:val="00297553"/>
    <w:rsid w:val="002B6888"/>
    <w:rsid w:val="002C0638"/>
    <w:rsid w:val="002C3D0B"/>
    <w:rsid w:val="002C65A2"/>
    <w:rsid w:val="002D675C"/>
    <w:rsid w:val="002E09B8"/>
    <w:rsid w:val="002E2F6F"/>
    <w:rsid w:val="002F16BF"/>
    <w:rsid w:val="002F1CBD"/>
    <w:rsid w:val="002F711D"/>
    <w:rsid w:val="003001B8"/>
    <w:rsid w:val="003014D5"/>
    <w:rsid w:val="00325D21"/>
    <w:rsid w:val="0032722E"/>
    <w:rsid w:val="003365A7"/>
    <w:rsid w:val="0034358B"/>
    <w:rsid w:val="0034642F"/>
    <w:rsid w:val="003565DE"/>
    <w:rsid w:val="003735A2"/>
    <w:rsid w:val="00383180"/>
    <w:rsid w:val="00386741"/>
    <w:rsid w:val="00391114"/>
    <w:rsid w:val="003B712F"/>
    <w:rsid w:val="0042156C"/>
    <w:rsid w:val="00430A2A"/>
    <w:rsid w:val="0045284C"/>
    <w:rsid w:val="0045366B"/>
    <w:rsid w:val="0045627E"/>
    <w:rsid w:val="00457E80"/>
    <w:rsid w:val="004626E0"/>
    <w:rsid w:val="00467360"/>
    <w:rsid w:val="00472567"/>
    <w:rsid w:val="00484DE5"/>
    <w:rsid w:val="004C3821"/>
    <w:rsid w:val="004D4D16"/>
    <w:rsid w:val="004E1E1F"/>
    <w:rsid w:val="004E7165"/>
    <w:rsid w:val="004F2211"/>
    <w:rsid w:val="004F3336"/>
    <w:rsid w:val="005007B2"/>
    <w:rsid w:val="0051282F"/>
    <w:rsid w:val="00524F54"/>
    <w:rsid w:val="00535A76"/>
    <w:rsid w:val="00540AB2"/>
    <w:rsid w:val="00544408"/>
    <w:rsid w:val="00545A5D"/>
    <w:rsid w:val="0055505B"/>
    <w:rsid w:val="00560F7E"/>
    <w:rsid w:val="005942E7"/>
    <w:rsid w:val="005A2C32"/>
    <w:rsid w:val="005A2CE5"/>
    <w:rsid w:val="005B1BEB"/>
    <w:rsid w:val="005C25BA"/>
    <w:rsid w:val="005E0873"/>
    <w:rsid w:val="005E0ADD"/>
    <w:rsid w:val="005E2D7A"/>
    <w:rsid w:val="00604CC6"/>
    <w:rsid w:val="006163E7"/>
    <w:rsid w:val="00616F63"/>
    <w:rsid w:val="00620A0C"/>
    <w:rsid w:val="0062518E"/>
    <w:rsid w:val="00625F68"/>
    <w:rsid w:val="00653A06"/>
    <w:rsid w:val="006544EA"/>
    <w:rsid w:val="006637E5"/>
    <w:rsid w:val="00673C6A"/>
    <w:rsid w:val="0067479C"/>
    <w:rsid w:val="0067791F"/>
    <w:rsid w:val="006A3B9C"/>
    <w:rsid w:val="006B24A3"/>
    <w:rsid w:val="006D4CA8"/>
    <w:rsid w:val="006D62E1"/>
    <w:rsid w:val="006E25DF"/>
    <w:rsid w:val="00703CED"/>
    <w:rsid w:val="00704803"/>
    <w:rsid w:val="00706DFE"/>
    <w:rsid w:val="00713A5F"/>
    <w:rsid w:val="00716D11"/>
    <w:rsid w:val="0072045E"/>
    <w:rsid w:val="00724AA7"/>
    <w:rsid w:val="00736BAA"/>
    <w:rsid w:val="007543B3"/>
    <w:rsid w:val="00756A8A"/>
    <w:rsid w:val="007615E0"/>
    <w:rsid w:val="00765A75"/>
    <w:rsid w:val="00770E37"/>
    <w:rsid w:val="00772A3D"/>
    <w:rsid w:val="007862E2"/>
    <w:rsid w:val="007A4C96"/>
    <w:rsid w:val="007A5E8F"/>
    <w:rsid w:val="007A748E"/>
    <w:rsid w:val="007B74CD"/>
    <w:rsid w:val="007D2C6E"/>
    <w:rsid w:val="007E1A1B"/>
    <w:rsid w:val="007F0510"/>
    <w:rsid w:val="007F3AB3"/>
    <w:rsid w:val="00827524"/>
    <w:rsid w:val="00834259"/>
    <w:rsid w:val="008355B0"/>
    <w:rsid w:val="00844366"/>
    <w:rsid w:val="00844DDA"/>
    <w:rsid w:val="00855210"/>
    <w:rsid w:val="00855365"/>
    <w:rsid w:val="00860E35"/>
    <w:rsid w:val="008803F4"/>
    <w:rsid w:val="008C6419"/>
    <w:rsid w:val="009009C2"/>
    <w:rsid w:val="00910011"/>
    <w:rsid w:val="00911535"/>
    <w:rsid w:val="00911BD8"/>
    <w:rsid w:val="00932529"/>
    <w:rsid w:val="00946D33"/>
    <w:rsid w:val="00956E65"/>
    <w:rsid w:val="009605C7"/>
    <w:rsid w:val="009613E1"/>
    <w:rsid w:val="0096555A"/>
    <w:rsid w:val="00977656"/>
    <w:rsid w:val="00991356"/>
    <w:rsid w:val="009918A0"/>
    <w:rsid w:val="009A6EF4"/>
    <w:rsid w:val="009B44E0"/>
    <w:rsid w:val="009C0EFE"/>
    <w:rsid w:val="009E69A5"/>
    <w:rsid w:val="00A06CB2"/>
    <w:rsid w:val="00A22EF3"/>
    <w:rsid w:val="00A23C31"/>
    <w:rsid w:val="00A34C63"/>
    <w:rsid w:val="00A37F60"/>
    <w:rsid w:val="00A55BD8"/>
    <w:rsid w:val="00A57342"/>
    <w:rsid w:val="00A72498"/>
    <w:rsid w:val="00A80DC0"/>
    <w:rsid w:val="00A8491C"/>
    <w:rsid w:val="00A85E2B"/>
    <w:rsid w:val="00A97EE6"/>
    <w:rsid w:val="00AA4252"/>
    <w:rsid w:val="00AA4F1E"/>
    <w:rsid w:val="00AB3C92"/>
    <w:rsid w:val="00AC4492"/>
    <w:rsid w:val="00AD5A6F"/>
    <w:rsid w:val="00AD6A73"/>
    <w:rsid w:val="00AD71A9"/>
    <w:rsid w:val="00B0166D"/>
    <w:rsid w:val="00B02B91"/>
    <w:rsid w:val="00B04ECC"/>
    <w:rsid w:val="00B21969"/>
    <w:rsid w:val="00B32159"/>
    <w:rsid w:val="00B34A66"/>
    <w:rsid w:val="00B40D61"/>
    <w:rsid w:val="00B56A24"/>
    <w:rsid w:val="00B602F3"/>
    <w:rsid w:val="00B70D9C"/>
    <w:rsid w:val="00B7136D"/>
    <w:rsid w:val="00B7602F"/>
    <w:rsid w:val="00B95A8F"/>
    <w:rsid w:val="00B95F01"/>
    <w:rsid w:val="00BA67EC"/>
    <w:rsid w:val="00BB4865"/>
    <w:rsid w:val="00BC5703"/>
    <w:rsid w:val="00BD44A4"/>
    <w:rsid w:val="00BE3B02"/>
    <w:rsid w:val="00BE4AFB"/>
    <w:rsid w:val="00BE57E6"/>
    <w:rsid w:val="00BF659A"/>
    <w:rsid w:val="00C06816"/>
    <w:rsid w:val="00C20A92"/>
    <w:rsid w:val="00C31091"/>
    <w:rsid w:val="00C429BF"/>
    <w:rsid w:val="00C46A1E"/>
    <w:rsid w:val="00C5027A"/>
    <w:rsid w:val="00C54023"/>
    <w:rsid w:val="00C6745D"/>
    <w:rsid w:val="00C83432"/>
    <w:rsid w:val="00C90886"/>
    <w:rsid w:val="00CA209C"/>
    <w:rsid w:val="00CB2B34"/>
    <w:rsid w:val="00CD378A"/>
    <w:rsid w:val="00CE2635"/>
    <w:rsid w:val="00D00C23"/>
    <w:rsid w:val="00D07F82"/>
    <w:rsid w:val="00D16734"/>
    <w:rsid w:val="00D24CAC"/>
    <w:rsid w:val="00D34820"/>
    <w:rsid w:val="00D70B24"/>
    <w:rsid w:val="00D85430"/>
    <w:rsid w:val="00DB6439"/>
    <w:rsid w:val="00DC0BA1"/>
    <w:rsid w:val="00DC6728"/>
    <w:rsid w:val="00DD0758"/>
    <w:rsid w:val="00DD2516"/>
    <w:rsid w:val="00DD3020"/>
    <w:rsid w:val="00DF308D"/>
    <w:rsid w:val="00E00766"/>
    <w:rsid w:val="00E0116A"/>
    <w:rsid w:val="00E02FC5"/>
    <w:rsid w:val="00E030EB"/>
    <w:rsid w:val="00E11488"/>
    <w:rsid w:val="00E11965"/>
    <w:rsid w:val="00E21BCD"/>
    <w:rsid w:val="00E32B10"/>
    <w:rsid w:val="00E33E3E"/>
    <w:rsid w:val="00E431BE"/>
    <w:rsid w:val="00E45A46"/>
    <w:rsid w:val="00E46C4F"/>
    <w:rsid w:val="00E47BB0"/>
    <w:rsid w:val="00E7574E"/>
    <w:rsid w:val="00E812ED"/>
    <w:rsid w:val="00E81DA8"/>
    <w:rsid w:val="00E8491A"/>
    <w:rsid w:val="00EA45E3"/>
    <w:rsid w:val="00EA4E19"/>
    <w:rsid w:val="00EB688D"/>
    <w:rsid w:val="00ED327F"/>
    <w:rsid w:val="00ED491E"/>
    <w:rsid w:val="00EE45C8"/>
    <w:rsid w:val="00EF46CC"/>
    <w:rsid w:val="00F113A9"/>
    <w:rsid w:val="00F21155"/>
    <w:rsid w:val="00F34034"/>
    <w:rsid w:val="00F44874"/>
    <w:rsid w:val="00F51520"/>
    <w:rsid w:val="00F549D7"/>
    <w:rsid w:val="00F56A15"/>
    <w:rsid w:val="00F62F2B"/>
    <w:rsid w:val="00F84577"/>
    <w:rsid w:val="00F92AE9"/>
    <w:rsid w:val="00F9726F"/>
    <w:rsid w:val="00FA0C59"/>
    <w:rsid w:val="00FE6123"/>
    <w:rsid w:val="00FE65DA"/>
    <w:rsid w:val="0CF37D51"/>
    <w:rsid w:val="126373E5"/>
    <w:rsid w:val="12734F43"/>
    <w:rsid w:val="132A1ADA"/>
    <w:rsid w:val="153E7EB5"/>
    <w:rsid w:val="16F01587"/>
    <w:rsid w:val="1867662D"/>
    <w:rsid w:val="1A7B5A5D"/>
    <w:rsid w:val="1B4115E8"/>
    <w:rsid w:val="1C690877"/>
    <w:rsid w:val="20B15718"/>
    <w:rsid w:val="28906085"/>
    <w:rsid w:val="28C71E69"/>
    <w:rsid w:val="2AE8636D"/>
    <w:rsid w:val="2BAE2124"/>
    <w:rsid w:val="33F93BAD"/>
    <w:rsid w:val="3677312F"/>
    <w:rsid w:val="36CA5E52"/>
    <w:rsid w:val="37EB6F1F"/>
    <w:rsid w:val="38A92DC2"/>
    <w:rsid w:val="45337BD2"/>
    <w:rsid w:val="47505BC0"/>
    <w:rsid w:val="48F72C70"/>
    <w:rsid w:val="4B936481"/>
    <w:rsid w:val="51443170"/>
    <w:rsid w:val="5234465E"/>
    <w:rsid w:val="56A4036E"/>
    <w:rsid w:val="56E649E7"/>
    <w:rsid w:val="597F32AD"/>
    <w:rsid w:val="5A6F00D9"/>
    <w:rsid w:val="5FB86B62"/>
    <w:rsid w:val="643300DF"/>
    <w:rsid w:val="6486100A"/>
    <w:rsid w:val="651960BE"/>
    <w:rsid w:val="66CB4EF5"/>
    <w:rsid w:val="6CF745B1"/>
    <w:rsid w:val="723B7662"/>
    <w:rsid w:val="75EC17E3"/>
    <w:rsid w:val="7A936160"/>
    <w:rsid w:val="7BCB3B58"/>
    <w:rsid w:val="7C2E2675"/>
    <w:rsid w:val="7E123F7C"/>
    <w:rsid w:val="7EA561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 w:type="character" w:customStyle="1" w:styleId="13">
    <w:name w:val="页眉 Char"/>
    <w:basedOn w:val="8"/>
    <w:link w:val="4"/>
    <w:qFormat/>
    <w:uiPriority w:val="99"/>
    <w:rPr>
      <w:rFonts w:ascii="Times New Roman" w:hAnsi="Times New Roman" w:eastAsia="宋体" w:cs="Times New Roman"/>
      <w:sz w:val="18"/>
      <w:szCs w:val="18"/>
    </w:rPr>
  </w:style>
  <w:style w:type="character" w:customStyle="1" w:styleId="14">
    <w:name w:val="页脚 Char"/>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EAFCA-CD92-459D-A51E-F5BE8249D24D}">
  <ds:schemaRefs/>
</ds:datastoreItem>
</file>

<file path=docProps/app.xml><?xml version="1.0" encoding="utf-8"?>
<Properties xmlns="http://schemas.openxmlformats.org/officeDocument/2006/extended-properties" xmlns:vt="http://schemas.openxmlformats.org/officeDocument/2006/docPropsVTypes">
  <Template>Normal</Template>
  <Pages>7</Pages>
  <Words>588</Words>
  <Characters>3358</Characters>
  <Lines>27</Lines>
  <Paragraphs>7</Paragraphs>
  <TotalTime>61</TotalTime>
  <ScaleCrop>false</ScaleCrop>
  <LinksUpToDate>false</LinksUpToDate>
  <CharactersWithSpaces>3939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2019-05-14T06:57:00Z</dcterms:created>
  <dc:creator>admin</dc:creator>
  <cp:lastModifiedBy>Kingston Liu</cp:lastModifiedBy>
  <cp:lastPrinted>2018-04-25T09:52:00Z</cp:lastPrinted>
  <dcterms:modified xsi:type="dcterms:W3CDTF">2019-05-14T08:26:25Z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