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59DE" w:rsidRPr="005121AD" w:rsidRDefault="008B2F57">
      <w:pPr>
        <w:rPr>
          <w:rFonts w:asciiTheme="minorEastAsia" w:eastAsiaTheme="minorEastAsia" w:hAnsiTheme="minorEastAsia"/>
        </w:rPr>
      </w:pPr>
      <w:r w:rsidRPr="005121AD">
        <w:rPr>
          <w:rFonts w:asciiTheme="minorEastAsia" w:eastAsiaTheme="minorEastAsia" w:hAnsiTheme="minorEastAsia" w:hint="eastAsia"/>
        </w:rPr>
        <w:t xml:space="preserve">证券代码：300420                              </w:t>
      </w:r>
      <w:r w:rsidR="00787291" w:rsidRPr="005121AD">
        <w:rPr>
          <w:rFonts w:asciiTheme="minorEastAsia" w:eastAsiaTheme="minorEastAsia" w:hAnsiTheme="minorEastAsia" w:hint="eastAsia"/>
        </w:rPr>
        <w:t xml:space="preserve">       </w:t>
      </w:r>
      <w:r w:rsidRPr="005121AD">
        <w:rPr>
          <w:rFonts w:asciiTheme="minorEastAsia" w:eastAsiaTheme="minorEastAsia" w:hAnsiTheme="minorEastAsia" w:hint="eastAsia"/>
        </w:rPr>
        <w:t xml:space="preserve">  证券简称：五洋停车</w:t>
      </w:r>
    </w:p>
    <w:p w:rsidR="000E59DE" w:rsidRPr="005121AD" w:rsidRDefault="008B2F57">
      <w:pPr>
        <w:spacing w:beforeLines="50" w:before="156"/>
        <w:jc w:val="center"/>
        <w:rPr>
          <w:rFonts w:asciiTheme="minorEastAsia" w:eastAsiaTheme="minorEastAsia" w:hAnsiTheme="minorEastAsia"/>
          <w:b/>
          <w:sz w:val="28"/>
          <w:szCs w:val="28"/>
        </w:rPr>
      </w:pPr>
      <w:r w:rsidRPr="005121AD">
        <w:rPr>
          <w:rFonts w:asciiTheme="minorEastAsia" w:eastAsiaTheme="minorEastAsia" w:hAnsiTheme="minorEastAsia" w:hint="eastAsia"/>
          <w:b/>
          <w:sz w:val="28"/>
          <w:szCs w:val="28"/>
        </w:rPr>
        <w:t>江苏五洋停车产业集团股份有限公司</w:t>
      </w:r>
    </w:p>
    <w:p w:rsidR="000E59DE" w:rsidRPr="005121AD" w:rsidRDefault="008B2F57">
      <w:pPr>
        <w:spacing w:afterLines="50" w:after="156"/>
        <w:jc w:val="center"/>
        <w:rPr>
          <w:rFonts w:asciiTheme="minorEastAsia" w:eastAsiaTheme="minorEastAsia" w:hAnsiTheme="minorEastAsia"/>
          <w:b/>
          <w:sz w:val="28"/>
          <w:szCs w:val="28"/>
        </w:rPr>
      </w:pPr>
      <w:r w:rsidRPr="005121AD">
        <w:rPr>
          <w:rFonts w:asciiTheme="minorEastAsia" w:eastAsiaTheme="minorEastAsia" w:hAnsiTheme="minorEastAsia" w:hint="eastAsia"/>
          <w:b/>
          <w:sz w:val="28"/>
          <w:szCs w:val="28"/>
        </w:rPr>
        <w:t>投资者关系活动记录表</w:t>
      </w:r>
    </w:p>
    <w:p w:rsidR="000E59DE" w:rsidRPr="005121AD" w:rsidRDefault="008B2F57">
      <w:pPr>
        <w:spacing w:afterLines="50" w:after="156" w:line="360" w:lineRule="auto"/>
        <w:ind w:firstLineChars="2500" w:firstLine="6000"/>
        <w:rPr>
          <w:rFonts w:asciiTheme="minorEastAsia" w:eastAsiaTheme="minorEastAsia" w:hAnsiTheme="minorEastAsia"/>
          <w:sz w:val="24"/>
          <w:szCs w:val="24"/>
        </w:rPr>
      </w:pPr>
      <w:r w:rsidRPr="005121AD">
        <w:rPr>
          <w:rFonts w:asciiTheme="minorEastAsia" w:eastAsiaTheme="minorEastAsia" w:hAnsiTheme="minorEastAsia" w:hint="eastAsia"/>
          <w:sz w:val="24"/>
          <w:szCs w:val="24"/>
        </w:rPr>
        <w:t>编号：2019-001</w:t>
      </w:r>
    </w:p>
    <w:tbl>
      <w:tblPr>
        <w:tblStyle w:val="a3"/>
        <w:tblW w:w="0" w:type="auto"/>
        <w:tblLook w:val="04A0" w:firstRow="1" w:lastRow="0" w:firstColumn="1" w:lastColumn="0" w:noHBand="0" w:noVBand="1"/>
      </w:tblPr>
      <w:tblGrid>
        <w:gridCol w:w="2518"/>
        <w:gridCol w:w="6004"/>
      </w:tblGrid>
      <w:tr w:rsidR="000E59DE">
        <w:trPr>
          <w:trHeight w:val="1518"/>
        </w:trPr>
        <w:tc>
          <w:tcPr>
            <w:tcW w:w="2518" w:type="dxa"/>
            <w:vAlign w:val="center"/>
          </w:tcPr>
          <w:p w:rsidR="000E59DE" w:rsidRDefault="008B2F57">
            <w:pPr>
              <w:spacing w:line="360" w:lineRule="auto"/>
              <w:jc w:val="center"/>
              <w:rPr>
                <w:sz w:val="24"/>
                <w:szCs w:val="24"/>
              </w:rPr>
            </w:pPr>
            <w:r>
              <w:rPr>
                <w:rFonts w:hint="eastAsia"/>
                <w:sz w:val="24"/>
                <w:szCs w:val="24"/>
              </w:rPr>
              <w:t>投资者关系活动类型</w:t>
            </w:r>
          </w:p>
        </w:tc>
        <w:tc>
          <w:tcPr>
            <w:tcW w:w="6004" w:type="dxa"/>
            <w:vAlign w:val="center"/>
          </w:tcPr>
          <w:p w:rsidR="000E59DE" w:rsidRDefault="008B2F57">
            <w:pPr>
              <w:spacing w:line="360" w:lineRule="auto"/>
              <w:rPr>
                <w:rFonts w:ascii="宋体" w:hAnsi="宋体"/>
                <w:sz w:val="24"/>
                <w:szCs w:val="24"/>
              </w:rPr>
            </w:pPr>
            <w:r>
              <w:rPr>
                <w:rFonts w:ascii="宋体" w:hAnsi="宋体" w:hint="eastAsia"/>
                <w:sz w:val="24"/>
                <w:szCs w:val="24"/>
              </w:rPr>
              <w:t>■特定对象调研    □分析</w:t>
            </w:r>
            <w:proofErr w:type="gramStart"/>
            <w:r>
              <w:rPr>
                <w:rFonts w:ascii="宋体" w:hAnsi="宋体" w:hint="eastAsia"/>
                <w:sz w:val="24"/>
                <w:szCs w:val="24"/>
              </w:rPr>
              <w:t>师会议</w:t>
            </w:r>
            <w:proofErr w:type="gramEnd"/>
            <w:r>
              <w:rPr>
                <w:rFonts w:ascii="宋体" w:hAnsi="宋体" w:hint="eastAsia"/>
                <w:sz w:val="24"/>
                <w:szCs w:val="24"/>
              </w:rPr>
              <w:t xml:space="preserve">    □媒体采访</w:t>
            </w:r>
          </w:p>
          <w:p w:rsidR="000E59DE" w:rsidRDefault="008B2F57">
            <w:pPr>
              <w:spacing w:line="360" w:lineRule="auto"/>
              <w:rPr>
                <w:rFonts w:ascii="宋体" w:hAnsi="宋体"/>
                <w:sz w:val="24"/>
                <w:szCs w:val="24"/>
              </w:rPr>
            </w:pPr>
            <w:r>
              <w:rPr>
                <w:rFonts w:ascii="宋体" w:hAnsi="宋体" w:hint="eastAsia"/>
                <w:sz w:val="24"/>
                <w:szCs w:val="24"/>
              </w:rPr>
              <w:t>□业绩说明会      □新闻发布会    □路演活动</w:t>
            </w:r>
          </w:p>
          <w:p w:rsidR="000E59DE" w:rsidRDefault="008B2F57">
            <w:pPr>
              <w:spacing w:line="360" w:lineRule="auto"/>
              <w:rPr>
                <w:sz w:val="24"/>
                <w:szCs w:val="24"/>
              </w:rPr>
            </w:pPr>
            <w:r>
              <w:rPr>
                <w:rFonts w:ascii="宋体" w:hAnsi="宋体" w:hint="eastAsia"/>
                <w:sz w:val="24"/>
                <w:szCs w:val="24"/>
              </w:rPr>
              <w:t>□现场参观        □其他（   ）</w:t>
            </w:r>
          </w:p>
        </w:tc>
      </w:tr>
      <w:tr w:rsidR="000E59DE">
        <w:trPr>
          <w:trHeight w:val="1134"/>
        </w:trPr>
        <w:tc>
          <w:tcPr>
            <w:tcW w:w="2518" w:type="dxa"/>
            <w:vAlign w:val="center"/>
          </w:tcPr>
          <w:p w:rsidR="000E59DE" w:rsidRDefault="008B2F57">
            <w:pPr>
              <w:spacing w:line="360" w:lineRule="auto"/>
              <w:jc w:val="center"/>
              <w:rPr>
                <w:sz w:val="24"/>
                <w:szCs w:val="24"/>
              </w:rPr>
            </w:pPr>
            <w:r>
              <w:rPr>
                <w:rFonts w:hint="eastAsia"/>
                <w:sz w:val="24"/>
                <w:szCs w:val="24"/>
              </w:rPr>
              <w:t>参与单位名称及</w:t>
            </w:r>
          </w:p>
          <w:p w:rsidR="000E59DE" w:rsidRDefault="008B2F57">
            <w:pPr>
              <w:spacing w:line="360" w:lineRule="auto"/>
              <w:jc w:val="center"/>
              <w:rPr>
                <w:sz w:val="24"/>
                <w:szCs w:val="24"/>
              </w:rPr>
            </w:pPr>
            <w:r>
              <w:rPr>
                <w:rFonts w:hint="eastAsia"/>
                <w:sz w:val="24"/>
                <w:szCs w:val="24"/>
              </w:rPr>
              <w:t>人员姓名</w:t>
            </w:r>
          </w:p>
        </w:tc>
        <w:tc>
          <w:tcPr>
            <w:tcW w:w="6004" w:type="dxa"/>
            <w:vAlign w:val="center"/>
          </w:tcPr>
          <w:p w:rsidR="000E59DE" w:rsidRDefault="008B2F57">
            <w:pPr>
              <w:spacing w:line="360" w:lineRule="auto"/>
              <w:rPr>
                <w:kern w:val="0"/>
                <w:sz w:val="24"/>
                <w:szCs w:val="24"/>
              </w:rPr>
            </w:pPr>
            <w:r>
              <w:rPr>
                <w:rFonts w:hint="eastAsia"/>
                <w:kern w:val="0"/>
                <w:sz w:val="24"/>
                <w:szCs w:val="24"/>
              </w:rPr>
              <w:t>兴业证券</w:t>
            </w:r>
            <w:r>
              <w:rPr>
                <w:rFonts w:hint="eastAsia"/>
                <w:kern w:val="0"/>
                <w:sz w:val="24"/>
                <w:szCs w:val="24"/>
              </w:rPr>
              <w:t xml:space="preserve"> </w:t>
            </w:r>
            <w:proofErr w:type="gramStart"/>
            <w:r>
              <w:rPr>
                <w:rFonts w:hint="eastAsia"/>
                <w:kern w:val="0"/>
                <w:sz w:val="24"/>
                <w:szCs w:val="24"/>
              </w:rPr>
              <w:t>成</w:t>
            </w:r>
            <w:r>
              <w:rPr>
                <w:kern w:val="0"/>
                <w:sz w:val="24"/>
                <w:szCs w:val="24"/>
              </w:rPr>
              <w:t>尚汶</w:t>
            </w:r>
            <w:proofErr w:type="gramEnd"/>
            <w:r>
              <w:rPr>
                <w:rFonts w:hint="eastAsia"/>
                <w:kern w:val="0"/>
                <w:sz w:val="24"/>
                <w:szCs w:val="24"/>
              </w:rPr>
              <w:t xml:space="preserve"> </w:t>
            </w:r>
            <w:r>
              <w:rPr>
                <w:rFonts w:hint="eastAsia"/>
                <w:kern w:val="0"/>
                <w:sz w:val="24"/>
                <w:szCs w:val="24"/>
              </w:rPr>
              <w:t>张新和</w:t>
            </w:r>
          </w:p>
          <w:p w:rsidR="000E59DE" w:rsidRDefault="008B2F57">
            <w:pPr>
              <w:spacing w:line="360" w:lineRule="auto"/>
              <w:rPr>
                <w:kern w:val="0"/>
                <w:sz w:val="24"/>
                <w:szCs w:val="24"/>
              </w:rPr>
            </w:pPr>
            <w:r>
              <w:rPr>
                <w:rFonts w:hint="eastAsia"/>
                <w:kern w:val="0"/>
                <w:sz w:val="24"/>
                <w:szCs w:val="24"/>
              </w:rPr>
              <w:t>融通基金</w:t>
            </w:r>
            <w:r>
              <w:rPr>
                <w:rFonts w:hint="eastAsia"/>
                <w:kern w:val="0"/>
                <w:sz w:val="24"/>
                <w:szCs w:val="24"/>
              </w:rPr>
              <w:t xml:space="preserve"> </w:t>
            </w:r>
            <w:proofErr w:type="gramStart"/>
            <w:r>
              <w:rPr>
                <w:rFonts w:hint="eastAsia"/>
                <w:kern w:val="0"/>
                <w:sz w:val="24"/>
                <w:szCs w:val="24"/>
              </w:rPr>
              <w:t>任涛</w:t>
            </w:r>
            <w:proofErr w:type="gramEnd"/>
          </w:p>
        </w:tc>
      </w:tr>
      <w:tr w:rsidR="000E59DE">
        <w:trPr>
          <w:trHeight w:val="697"/>
        </w:trPr>
        <w:tc>
          <w:tcPr>
            <w:tcW w:w="2518" w:type="dxa"/>
            <w:vAlign w:val="center"/>
          </w:tcPr>
          <w:p w:rsidR="000E59DE" w:rsidRDefault="008B2F57">
            <w:pPr>
              <w:spacing w:line="360" w:lineRule="auto"/>
              <w:jc w:val="center"/>
              <w:rPr>
                <w:sz w:val="24"/>
                <w:szCs w:val="24"/>
              </w:rPr>
            </w:pPr>
            <w:r>
              <w:rPr>
                <w:rFonts w:hint="eastAsia"/>
                <w:sz w:val="24"/>
                <w:szCs w:val="24"/>
              </w:rPr>
              <w:t>时间</w:t>
            </w:r>
          </w:p>
        </w:tc>
        <w:tc>
          <w:tcPr>
            <w:tcW w:w="6004" w:type="dxa"/>
            <w:vAlign w:val="center"/>
          </w:tcPr>
          <w:p w:rsidR="000E59DE" w:rsidRDefault="008B2F57" w:rsidP="008C05E3">
            <w:pPr>
              <w:spacing w:line="360" w:lineRule="auto"/>
              <w:jc w:val="left"/>
              <w:rPr>
                <w:sz w:val="24"/>
                <w:szCs w:val="24"/>
              </w:rPr>
            </w:pPr>
            <w:r>
              <w:rPr>
                <w:rFonts w:hint="eastAsia"/>
                <w:sz w:val="24"/>
                <w:szCs w:val="24"/>
              </w:rPr>
              <w:t>2019</w:t>
            </w:r>
            <w:r>
              <w:rPr>
                <w:rFonts w:hint="eastAsia"/>
                <w:sz w:val="24"/>
                <w:szCs w:val="24"/>
              </w:rPr>
              <w:t>年</w:t>
            </w:r>
            <w:r>
              <w:rPr>
                <w:rFonts w:hint="eastAsia"/>
                <w:sz w:val="24"/>
                <w:szCs w:val="24"/>
              </w:rPr>
              <w:t>5</w:t>
            </w:r>
            <w:r>
              <w:rPr>
                <w:rFonts w:hint="eastAsia"/>
                <w:sz w:val="24"/>
                <w:szCs w:val="24"/>
              </w:rPr>
              <w:t>月</w:t>
            </w:r>
            <w:r w:rsidR="008C05E3">
              <w:rPr>
                <w:rFonts w:hint="eastAsia"/>
                <w:sz w:val="24"/>
                <w:szCs w:val="24"/>
              </w:rPr>
              <w:t>16</w:t>
            </w:r>
            <w:r>
              <w:rPr>
                <w:rFonts w:hint="eastAsia"/>
                <w:sz w:val="24"/>
                <w:szCs w:val="24"/>
              </w:rPr>
              <w:t>日</w:t>
            </w:r>
          </w:p>
        </w:tc>
      </w:tr>
      <w:tr w:rsidR="000E59DE">
        <w:trPr>
          <w:trHeight w:val="706"/>
        </w:trPr>
        <w:tc>
          <w:tcPr>
            <w:tcW w:w="2518" w:type="dxa"/>
            <w:vAlign w:val="center"/>
          </w:tcPr>
          <w:p w:rsidR="000E59DE" w:rsidRDefault="008B2F57">
            <w:pPr>
              <w:spacing w:line="360" w:lineRule="auto"/>
              <w:jc w:val="center"/>
              <w:rPr>
                <w:sz w:val="24"/>
                <w:szCs w:val="24"/>
              </w:rPr>
            </w:pPr>
            <w:r>
              <w:rPr>
                <w:rFonts w:hint="eastAsia"/>
                <w:sz w:val="24"/>
                <w:szCs w:val="24"/>
              </w:rPr>
              <w:t>地点</w:t>
            </w:r>
          </w:p>
        </w:tc>
        <w:tc>
          <w:tcPr>
            <w:tcW w:w="6004" w:type="dxa"/>
            <w:vAlign w:val="center"/>
          </w:tcPr>
          <w:p w:rsidR="000E59DE" w:rsidRDefault="008B2F57">
            <w:pPr>
              <w:spacing w:line="360" w:lineRule="auto"/>
              <w:jc w:val="left"/>
              <w:rPr>
                <w:sz w:val="24"/>
                <w:szCs w:val="24"/>
              </w:rPr>
            </w:pPr>
            <w:r>
              <w:rPr>
                <w:rFonts w:hint="eastAsia"/>
                <w:sz w:val="24"/>
                <w:szCs w:val="24"/>
              </w:rPr>
              <w:t>深圳</w:t>
            </w:r>
            <w:r w:rsidR="005121AD">
              <w:rPr>
                <w:rFonts w:hint="eastAsia"/>
                <w:sz w:val="24"/>
                <w:szCs w:val="24"/>
              </w:rPr>
              <w:t>市</w:t>
            </w:r>
            <w:r>
              <w:rPr>
                <w:sz w:val="24"/>
                <w:szCs w:val="24"/>
              </w:rPr>
              <w:t>伟创</w:t>
            </w:r>
            <w:r w:rsidR="005121AD">
              <w:rPr>
                <w:rFonts w:hint="eastAsia"/>
                <w:sz w:val="24"/>
                <w:szCs w:val="24"/>
              </w:rPr>
              <w:t>自动化设备有限公司会议室</w:t>
            </w:r>
            <w:bookmarkStart w:id="0" w:name="_GoBack"/>
            <w:bookmarkEnd w:id="0"/>
          </w:p>
        </w:tc>
      </w:tr>
      <w:tr w:rsidR="000E59DE">
        <w:trPr>
          <w:trHeight w:val="972"/>
        </w:trPr>
        <w:tc>
          <w:tcPr>
            <w:tcW w:w="2518" w:type="dxa"/>
            <w:vAlign w:val="center"/>
          </w:tcPr>
          <w:p w:rsidR="000E59DE" w:rsidRDefault="008B2F57">
            <w:pPr>
              <w:spacing w:line="360" w:lineRule="auto"/>
              <w:jc w:val="center"/>
              <w:rPr>
                <w:sz w:val="24"/>
                <w:szCs w:val="24"/>
              </w:rPr>
            </w:pPr>
            <w:r>
              <w:rPr>
                <w:rFonts w:hint="eastAsia"/>
                <w:sz w:val="24"/>
                <w:szCs w:val="24"/>
              </w:rPr>
              <w:t>公司接待人员姓名</w:t>
            </w:r>
          </w:p>
        </w:tc>
        <w:tc>
          <w:tcPr>
            <w:tcW w:w="6004" w:type="dxa"/>
            <w:vAlign w:val="center"/>
          </w:tcPr>
          <w:p w:rsidR="000E59DE" w:rsidRDefault="008B2F57">
            <w:pPr>
              <w:spacing w:line="360" w:lineRule="auto"/>
              <w:rPr>
                <w:sz w:val="24"/>
                <w:szCs w:val="24"/>
              </w:rPr>
            </w:pPr>
            <w:r>
              <w:rPr>
                <w:rFonts w:hint="eastAsia"/>
                <w:sz w:val="24"/>
                <w:szCs w:val="24"/>
              </w:rPr>
              <w:t>董事会</w:t>
            </w:r>
            <w:r>
              <w:rPr>
                <w:sz w:val="24"/>
                <w:szCs w:val="24"/>
              </w:rPr>
              <w:t>秘书</w:t>
            </w:r>
            <w:r>
              <w:rPr>
                <w:rFonts w:hint="eastAsia"/>
                <w:sz w:val="24"/>
                <w:szCs w:val="24"/>
              </w:rPr>
              <w:t xml:space="preserve"> </w:t>
            </w:r>
            <w:r>
              <w:rPr>
                <w:rFonts w:hint="eastAsia"/>
                <w:sz w:val="24"/>
                <w:szCs w:val="24"/>
              </w:rPr>
              <w:t>毛立军</w:t>
            </w:r>
          </w:p>
        </w:tc>
      </w:tr>
      <w:tr w:rsidR="000E59DE">
        <w:trPr>
          <w:trHeight w:val="1266"/>
        </w:trPr>
        <w:tc>
          <w:tcPr>
            <w:tcW w:w="2518" w:type="dxa"/>
            <w:vAlign w:val="center"/>
          </w:tcPr>
          <w:p w:rsidR="000E59DE" w:rsidRDefault="008B2F57">
            <w:pPr>
              <w:spacing w:line="360" w:lineRule="auto"/>
              <w:jc w:val="center"/>
              <w:rPr>
                <w:sz w:val="24"/>
                <w:szCs w:val="24"/>
              </w:rPr>
            </w:pPr>
            <w:r>
              <w:rPr>
                <w:rFonts w:hint="eastAsia"/>
                <w:sz w:val="24"/>
                <w:szCs w:val="24"/>
              </w:rPr>
              <w:t>投资者关系活动主要内容介绍</w:t>
            </w:r>
          </w:p>
        </w:tc>
        <w:tc>
          <w:tcPr>
            <w:tcW w:w="6004" w:type="dxa"/>
            <w:vAlign w:val="center"/>
          </w:tcPr>
          <w:p w:rsidR="000E59DE" w:rsidRDefault="008B2F57">
            <w:pPr>
              <w:spacing w:line="360" w:lineRule="auto"/>
              <w:jc w:val="left"/>
              <w:rPr>
                <w:rFonts w:ascii="宋体" w:hAnsi="宋体"/>
                <w:sz w:val="19"/>
                <w:szCs w:val="19"/>
              </w:rPr>
            </w:pPr>
            <w:r>
              <w:rPr>
                <w:rFonts w:ascii="宋体" w:hAnsi="宋体" w:hint="eastAsia"/>
                <w:b/>
                <w:szCs w:val="21"/>
              </w:rPr>
              <w:t>一、公司</w:t>
            </w:r>
            <w:r>
              <w:rPr>
                <w:rFonts w:ascii="宋体" w:hAnsi="宋体"/>
                <w:b/>
                <w:szCs w:val="21"/>
              </w:rPr>
              <w:t>基本情况介绍</w:t>
            </w:r>
          </w:p>
          <w:p w:rsidR="000E59DE" w:rsidRDefault="008B2F57">
            <w:pPr>
              <w:spacing w:line="360" w:lineRule="auto"/>
              <w:jc w:val="left"/>
              <w:rPr>
                <w:rFonts w:ascii="宋体" w:hAnsi="宋体"/>
                <w:b/>
                <w:szCs w:val="21"/>
              </w:rPr>
            </w:pPr>
            <w:r>
              <w:rPr>
                <w:rFonts w:ascii="宋体" w:hAnsi="宋体" w:hint="eastAsia"/>
                <w:b/>
                <w:szCs w:val="21"/>
              </w:rPr>
              <w:t>二</w:t>
            </w:r>
            <w:r>
              <w:rPr>
                <w:rFonts w:ascii="宋体" w:hAnsi="宋体"/>
                <w:b/>
                <w:szCs w:val="21"/>
              </w:rPr>
              <w:t>、</w:t>
            </w:r>
            <w:r>
              <w:rPr>
                <w:rFonts w:ascii="宋体" w:hAnsi="宋体" w:hint="eastAsia"/>
                <w:b/>
                <w:szCs w:val="21"/>
              </w:rPr>
              <w:t>互动交流摘要</w:t>
            </w:r>
          </w:p>
          <w:p w:rsidR="000E59DE" w:rsidRDefault="008B2F57">
            <w:pPr>
              <w:spacing w:line="360" w:lineRule="auto"/>
              <w:rPr>
                <w:rFonts w:ascii="宋体" w:hAnsi="宋体"/>
                <w:b/>
                <w:szCs w:val="21"/>
              </w:rPr>
            </w:pPr>
            <w:r>
              <w:rPr>
                <w:rFonts w:ascii="宋体" w:hAnsi="宋体" w:hint="eastAsia"/>
                <w:b/>
                <w:szCs w:val="21"/>
              </w:rPr>
              <w:t>1、2018年度公司经营情况</w:t>
            </w:r>
            <w:r>
              <w:rPr>
                <w:rFonts w:ascii="宋体" w:hAnsi="宋体"/>
                <w:b/>
                <w:szCs w:val="21"/>
              </w:rPr>
              <w:t>及发展亮点？</w:t>
            </w:r>
          </w:p>
          <w:p w:rsidR="000E59DE" w:rsidRDefault="008B2F57">
            <w:pPr>
              <w:spacing w:line="360" w:lineRule="auto"/>
              <w:jc w:val="left"/>
              <w:rPr>
                <w:rFonts w:ascii="宋体" w:hAnsi="宋体"/>
                <w:b/>
                <w:szCs w:val="21"/>
              </w:rPr>
            </w:pPr>
            <w:r>
              <w:rPr>
                <w:rFonts w:ascii="宋体" w:hAnsi="宋体" w:hint="eastAsia"/>
                <w:b/>
                <w:szCs w:val="21"/>
              </w:rPr>
              <w:t>答：</w:t>
            </w:r>
            <w:r>
              <w:rPr>
                <w:rFonts w:ascii="宋体" w:hAnsi="宋体" w:hint="eastAsia"/>
                <w:szCs w:val="21"/>
              </w:rPr>
              <w:t>公司实现营业收入100,207.64万元，同比增长32.80%；实现归属上市公司普通股股东的净利润13,099.51万元，同比增长68.88%；归属于上市公司普通股股东的扣除非经常性损益后的净利润11,452.36万元，同比增长67.89%；机械式立体停车设备板块实现营业收入62,140.54万元，占营业收入的62.01%。公司经营质量与盈利能力大幅提升，逾期货款、存货及成本费用有效管控，资产质量显著提高。</w:t>
            </w:r>
          </w:p>
          <w:p w:rsidR="000E59DE" w:rsidRDefault="008B2F57">
            <w:pPr>
              <w:spacing w:line="360" w:lineRule="auto"/>
              <w:jc w:val="left"/>
              <w:rPr>
                <w:rFonts w:ascii="宋体" w:hAnsi="宋体"/>
                <w:b/>
                <w:szCs w:val="21"/>
              </w:rPr>
            </w:pPr>
            <w:r>
              <w:rPr>
                <w:rFonts w:ascii="宋体" w:hAnsi="宋体"/>
                <w:b/>
                <w:szCs w:val="21"/>
              </w:rPr>
              <w:t>2</w:t>
            </w:r>
            <w:r>
              <w:rPr>
                <w:rFonts w:ascii="宋体" w:hAnsi="宋体" w:hint="eastAsia"/>
                <w:b/>
                <w:szCs w:val="21"/>
              </w:rPr>
              <w:t>、公司立体停车库业务目前情况及分布区域？</w:t>
            </w:r>
          </w:p>
          <w:p w:rsidR="000E59DE" w:rsidRDefault="008B2F57">
            <w:pPr>
              <w:spacing w:line="360" w:lineRule="auto"/>
              <w:jc w:val="left"/>
              <w:rPr>
                <w:rFonts w:ascii="宋体" w:hAnsi="宋体"/>
                <w:szCs w:val="21"/>
              </w:rPr>
            </w:pPr>
            <w:r>
              <w:rPr>
                <w:rFonts w:ascii="宋体" w:hAnsi="宋体" w:hint="eastAsia"/>
                <w:b/>
                <w:szCs w:val="21"/>
              </w:rPr>
              <w:t>答</w:t>
            </w:r>
            <w:r>
              <w:rPr>
                <w:rFonts w:ascii="宋体" w:hAnsi="宋体"/>
                <w:b/>
                <w:szCs w:val="21"/>
              </w:rPr>
              <w:t>：</w:t>
            </w:r>
            <w:r>
              <w:rPr>
                <w:rFonts w:ascii="宋体" w:hAnsi="宋体" w:hint="eastAsia"/>
                <w:szCs w:val="21"/>
              </w:rPr>
              <w:t>公司依托伟创自动化和天辰智能的行业地位，在机械式立体停车设备行业取得长足的发展。 2018年，公司机械式立体停车</w:t>
            </w:r>
            <w:r>
              <w:rPr>
                <w:rFonts w:ascii="宋体" w:hAnsi="宋体" w:hint="eastAsia"/>
                <w:szCs w:val="21"/>
              </w:rPr>
              <w:lastRenderedPageBreak/>
              <w:t>设备销售同比增长27.19%，远远高于行业同比增长率， 起到了行业龙头的引领作用。公司形成了“南伟创，北天辰”的机械式立体停车设备行业格局，业务范围覆盖全国</w:t>
            </w:r>
            <w:r>
              <w:rPr>
                <w:rFonts w:ascii="宋体" w:hAnsi="宋体"/>
                <w:szCs w:val="21"/>
              </w:rPr>
              <w:t>。</w:t>
            </w:r>
          </w:p>
          <w:p w:rsidR="000E59DE" w:rsidRDefault="008B2F57">
            <w:pPr>
              <w:spacing w:line="360" w:lineRule="auto"/>
              <w:jc w:val="left"/>
              <w:rPr>
                <w:rFonts w:ascii="宋体" w:hAnsi="宋体"/>
                <w:b/>
                <w:szCs w:val="21"/>
              </w:rPr>
            </w:pPr>
            <w:r>
              <w:rPr>
                <w:rFonts w:ascii="宋体" w:hAnsi="宋体" w:hint="eastAsia"/>
                <w:b/>
                <w:szCs w:val="21"/>
              </w:rPr>
              <w:t>3、</w:t>
            </w:r>
            <w:proofErr w:type="gramStart"/>
            <w:r>
              <w:rPr>
                <w:rFonts w:ascii="宋体" w:hAnsi="宋体" w:hint="eastAsia"/>
                <w:b/>
                <w:szCs w:val="21"/>
              </w:rPr>
              <w:t>公司维保车位</w:t>
            </w:r>
            <w:proofErr w:type="gramEnd"/>
            <w:r>
              <w:rPr>
                <w:rFonts w:ascii="宋体" w:hAnsi="宋体" w:hint="eastAsia"/>
                <w:b/>
                <w:szCs w:val="21"/>
              </w:rPr>
              <w:t>、权益车位发展</w:t>
            </w:r>
            <w:r>
              <w:rPr>
                <w:rFonts w:ascii="宋体" w:hAnsi="宋体"/>
                <w:b/>
                <w:szCs w:val="21"/>
              </w:rPr>
              <w:t>情况？</w:t>
            </w:r>
          </w:p>
          <w:p w:rsidR="000E59DE" w:rsidRDefault="008B2F57">
            <w:pPr>
              <w:spacing w:line="360" w:lineRule="auto"/>
              <w:jc w:val="left"/>
              <w:rPr>
                <w:rFonts w:ascii="宋体" w:hAnsi="宋体"/>
                <w:szCs w:val="21"/>
              </w:rPr>
            </w:pPr>
            <w:r>
              <w:rPr>
                <w:rFonts w:ascii="宋体" w:hAnsi="宋体" w:hint="eastAsia"/>
                <w:b/>
                <w:szCs w:val="21"/>
              </w:rPr>
              <w:t>答：</w:t>
            </w:r>
            <w:r>
              <w:rPr>
                <w:rFonts w:ascii="宋体" w:hAnsi="宋体" w:hint="eastAsia"/>
                <w:szCs w:val="21"/>
              </w:rPr>
              <w:t>截至2018 年底，公司已累计对外销售约 25 万个立体车库泊位数， 公司</w:t>
            </w:r>
            <w:proofErr w:type="gramStart"/>
            <w:r>
              <w:rPr>
                <w:rFonts w:ascii="宋体" w:hAnsi="宋体" w:hint="eastAsia"/>
                <w:szCs w:val="21"/>
              </w:rPr>
              <w:t>通过维保车位</w:t>
            </w:r>
            <w:proofErr w:type="gramEnd"/>
            <w:r>
              <w:rPr>
                <w:rFonts w:ascii="宋体" w:hAnsi="宋体" w:hint="eastAsia"/>
                <w:szCs w:val="21"/>
              </w:rPr>
              <w:t>与客户维持了长期稳定的合作关系。权益车位是指公司通过投资地方政府公共停车场建设或和非政府业主共同建设停车场的方式获取的停车资源。公司积极主动地向停车场建设及停车产业运营管理服务的领域延伸， 截至 2018 年底，公司已在福建、辽宁、云南、江西等省份投资建设了多个智慧停车项目。</w:t>
            </w:r>
          </w:p>
          <w:p w:rsidR="000E59DE" w:rsidRDefault="008B2F57">
            <w:pPr>
              <w:spacing w:line="360" w:lineRule="auto"/>
              <w:jc w:val="left"/>
              <w:rPr>
                <w:rFonts w:ascii="宋体" w:hAnsi="宋体"/>
                <w:b/>
                <w:szCs w:val="21"/>
              </w:rPr>
            </w:pPr>
            <w:r>
              <w:rPr>
                <w:rFonts w:ascii="宋体" w:hAnsi="宋体" w:hint="eastAsia"/>
                <w:b/>
                <w:szCs w:val="21"/>
              </w:rPr>
              <w:t>4、</w:t>
            </w:r>
            <w:r>
              <w:rPr>
                <w:rFonts w:ascii="宋体" w:hAnsi="宋体"/>
                <w:b/>
                <w:szCs w:val="21"/>
              </w:rPr>
              <w:t>公司研发投入及</w:t>
            </w:r>
            <w:r>
              <w:rPr>
                <w:rFonts w:ascii="宋体" w:hAnsi="宋体" w:hint="eastAsia"/>
                <w:b/>
                <w:szCs w:val="21"/>
              </w:rPr>
              <w:t>新产品</w:t>
            </w:r>
            <w:r>
              <w:rPr>
                <w:rFonts w:ascii="宋体" w:hAnsi="宋体"/>
                <w:b/>
                <w:szCs w:val="21"/>
              </w:rPr>
              <w:t>布局？</w:t>
            </w:r>
          </w:p>
          <w:p w:rsidR="000E59DE" w:rsidRDefault="008B2F57">
            <w:pPr>
              <w:spacing w:line="360" w:lineRule="auto"/>
              <w:jc w:val="left"/>
              <w:rPr>
                <w:rFonts w:ascii="宋体" w:hAnsi="宋体"/>
                <w:szCs w:val="21"/>
              </w:rPr>
            </w:pPr>
            <w:r>
              <w:rPr>
                <w:rFonts w:ascii="宋体" w:hAnsi="宋体" w:hint="eastAsia"/>
                <w:b/>
                <w:szCs w:val="21"/>
              </w:rPr>
              <w:t>答</w:t>
            </w:r>
            <w:r>
              <w:rPr>
                <w:rFonts w:ascii="宋体" w:hAnsi="宋体"/>
                <w:b/>
                <w:szCs w:val="21"/>
              </w:rPr>
              <w:t>：</w:t>
            </w:r>
            <w:r>
              <w:rPr>
                <w:rFonts w:ascii="宋体" w:hAnsi="宋体" w:hint="eastAsia"/>
                <w:szCs w:val="21"/>
              </w:rPr>
              <w:t>2018年</w:t>
            </w:r>
            <w:r>
              <w:rPr>
                <w:rFonts w:ascii="宋体" w:hAnsi="宋体"/>
                <w:szCs w:val="21"/>
              </w:rPr>
              <w:t>，公司研发投入5923.44</w:t>
            </w:r>
            <w:r>
              <w:rPr>
                <w:rFonts w:ascii="宋体" w:hAnsi="宋体" w:hint="eastAsia"/>
                <w:szCs w:val="21"/>
              </w:rPr>
              <w:t>万元</w:t>
            </w:r>
            <w:r>
              <w:rPr>
                <w:rFonts w:ascii="宋体" w:hAnsi="宋体"/>
                <w:szCs w:val="21"/>
              </w:rPr>
              <w:t>，</w:t>
            </w:r>
            <w:r>
              <w:rPr>
                <w:rFonts w:ascii="宋体" w:hAnsi="宋体" w:hint="eastAsia"/>
                <w:szCs w:val="21"/>
              </w:rPr>
              <w:t>占营业收入比例为</w:t>
            </w:r>
            <w:r>
              <w:rPr>
                <w:rFonts w:ascii="宋体" w:hAnsi="宋体"/>
                <w:szCs w:val="21"/>
              </w:rPr>
              <w:t>5.91%</w:t>
            </w:r>
            <w:r>
              <w:rPr>
                <w:rFonts w:ascii="宋体" w:hAnsi="宋体" w:hint="eastAsia"/>
                <w:szCs w:val="21"/>
              </w:rPr>
              <w:t>。重点研发</w:t>
            </w:r>
            <w:proofErr w:type="gramStart"/>
            <w:r>
              <w:rPr>
                <w:rFonts w:ascii="宋体" w:hAnsi="宋体" w:hint="eastAsia"/>
                <w:szCs w:val="21"/>
              </w:rPr>
              <w:t>包括载车板式</w:t>
            </w:r>
            <w:proofErr w:type="gramEnd"/>
            <w:r>
              <w:rPr>
                <w:rFonts w:ascii="宋体" w:hAnsi="宋体" w:hint="eastAsia"/>
                <w:szCs w:val="21"/>
              </w:rPr>
              <w:t>停车AGV的进一步升级优化、大巴车立体车库</w:t>
            </w:r>
            <w:proofErr w:type="gramStart"/>
            <w:r>
              <w:rPr>
                <w:rFonts w:ascii="宋体" w:hAnsi="宋体" w:hint="eastAsia"/>
                <w:szCs w:val="21"/>
              </w:rPr>
              <w:t>其他库型的</w:t>
            </w:r>
            <w:proofErr w:type="gramEnd"/>
            <w:r>
              <w:rPr>
                <w:rFonts w:ascii="宋体" w:hAnsi="宋体" w:hint="eastAsia"/>
                <w:szCs w:val="21"/>
              </w:rPr>
              <w:t>研发（公司已经拥有垂直升降类大巴车库生产资质）、双车板同步交换技术的深化、智能</w:t>
            </w:r>
            <w:proofErr w:type="gramStart"/>
            <w:r>
              <w:rPr>
                <w:rFonts w:ascii="宋体" w:hAnsi="宋体" w:hint="eastAsia"/>
                <w:szCs w:val="21"/>
              </w:rPr>
              <w:t>搬运器</w:t>
            </w:r>
            <w:proofErr w:type="gramEnd"/>
            <w:r>
              <w:rPr>
                <w:rFonts w:ascii="宋体" w:hAnsi="宋体" w:hint="eastAsia"/>
                <w:szCs w:val="21"/>
              </w:rPr>
              <w:t>研发、新型堆垛机研发、立体车库的充电技术研发、自动</w:t>
            </w:r>
            <w:proofErr w:type="gramStart"/>
            <w:r>
              <w:rPr>
                <w:rFonts w:ascii="宋体" w:hAnsi="宋体" w:hint="eastAsia"/>
                <w:szCs w:val="21"/>
              </w:rPr>
              <w:t>立机机构</w:t>
            </w:r>
            <w:proofErr w:type="gramEnd"/>
            <w:r>
              <w:rPr>
                <w:rFonts w:ascii="宋体" w:hAnsi="宋体" w:hint="eastAsia"/>
                <w:szCs w:val="21"/>
              </w:rPr>
              <w:t>研发、自动翻转机构研发、自动开箱机构研发、自动落地机构研发、自动</w:t>
            </w:r>
            <w:proofErr w:type="gramStart"/>
            <w:r>
              <w:rPr>
                <w:rFonts w:ascii="宋体" w:hAnsi="宋体" w:hint="eastAsia"/>
                <w:szCs w:val="21"/>
              </w:rPr>
              <w:t>拆盘机构</w:t>
            </w:r>
            <w:proofErr w:type="gramEnd"/>
            <w:r>
              <w:rPr>
                <w:rFonts w:ascii="宋体" w:hAnsi="宋体" w:hint="eastAsia"/>
                <w:szCs w:val="21"/>
              </w:rPr>
              <w:t>研发等。</w:t>
            </w:r>
          </w:p>
          <w:p w:rsidR="000E59DE" w:rsidRDefault="008B2F57">
            <w:pPr>
              <w:spacing w:line="360" w:lineRule="auto"/>
              <w:jc w:val="left"/>
              <w:rPr>
                <w:rFonts w:ascii="宋体" w:hAnsi="宋体"/>
                <w:b/>
                <w:szCs w:val="21"/>
              </w:rPr>
            </w:pPr>
            <w:r>
              <w:rPr>
                <w:rFonts w:ascii="宋体" w:hAnsi="宋体" w:hint="eastAsia"/>
                <w:b/>
                <w:szCs w:val="21"/>
              </w:rPr>
              <w:t>5、公司非公开</w:t>
            </w:r>
            <w:r>
              <w:rPr>
                <w:rFonts w:ascii="宋体" w:hAnsi="宋体"/>
                <w:b/>
                <w:szCs w:val="21"/>
              </w:rPr>
              <w:t>发行</w:t>
            </w:r>
            <w:r>
              <w:rPr>
                <w:rFonts w:ascii="宋体" w:hAnsi="宋体" w:hint="eastAsia"/>
                <w:b/>
                <w:szCs w:val="21"/>
              </w:rPr>
              <w:t>股票</w:t>
            </w:r>
            <w:r>
              <w:rPr>
                <w:rFonts w:ascii="宋体" w:hAnsi="宋体"/>
                <w:b/>
                <w:szCs w:val="21"/>
              </w:rPr>
              <w:t>募集资金</w:t>
            </w:r>
            <w:r>
              <w:rPr>
                <w:rFonts w:ascii="宋体" w:hAnsi="宋体" w:hint="eastAsia"/>
                <w:b/>
                <w:szCs w:val="21"/>
              </w:rPr>
              <w:t>情况</w:t>
            </w:r>
            <w:r>
              <w:rPr>
                <w:rFonts w:ascii="宋体" w:hAnsi="宋体"/>
                <w:b/>
                <w:szCs w:val="21"/>
              </w:rPr>
              <w:t>？</w:t>
            </w:r>
          </w:p>
          <w:p w:rsidR="000E59DE" w:rsidRDefault="008B2F57">
            <w:pPr>
              <w:spacing w:line="360" w:lineRule="auto"/>
              <w:jc w:val="left"/>
              <w:rPr>
                <w:rFonts w:ascii="宋体" w:hAnsi="宋体"/>
                <w:szCs w:val="21"/>
              </w:rPr>
            </w:pPr>
            <w:r>
              <w:rPr>
                <w:rFonts w:ascii="宋体" w:hAnsi="宋体" w:hint="eastAsia"/>
                <w:b/>
                <w:szCs w:val="21"/>
              </w:rPr>
              <w:t>答：</w:t>
            </w:r>
            <w:r>
              <w:rPr>
                <w:rFonts w:ascii="宋体" w:hAnsi="宋体" w:hint="eastAsia"/>
                <w:szCs w:val="21"/>
              </w:rPr>
              <w:t>本次向特定投资者非公开发行股票募集资金总额不超过人民币 80,000.00万元（含 80,000.00 万元），扣除发行费用后，募集资金用于“智能机械式立体停车设备制造项目（东莞基地）”、“智能机械式立体停车设备制造项目（徐州基地）”、“研发中心建设项目”、“五洋智云智慧停车项目”和“补充流动资金”。</w:t>
            </w:r>
          </w:p>
          <w:p w:rsidR="000E59DE" w:rsidRDefault="008B2F57">
            <w:pPr>
              <w:spacing w:line="360" w:lineRule="auto"/>
              <w:jc w:val="left"/>
              <w:rPr>
                <w:rFonts w:ascii="宋体" w:hAnsi="宋体"/>
                <w:b/>
                <w:szCs w:val="21"/>
              </w:rPr>
            </w:pPr>
            <w:r>
              <w:rPr>
                <w:rFonts w:ascii="宋体" w:hAnsi="宋体"/>
                <w:b/>
                <w:szCs w:val="21"/>
              </w:rPr>
              <w:t>6</w:t>
            </w:r>
            <w:r>
              <w:rPr>
                <w:rFonts w:ascii="宋体" w:hAnsi="宋体" w:hint="eastAsia"/>
                <w:b/>
                <w:szCs w:val="21"/>
              </w:rPr>
              <w:t>、</w:t>
            </w:r>
            <w:r>
              <w:rPr>
                <w:rFonts w:ascii="宋体" w:hAnsi="宋体"/>
                <w:b/>
                <w:szCs w:val="21"/>
              </w:rPr>
              <w:t>停车行业政策</w:t>
            </w:r>
            <w:r>
              <w:rPr>
                <w:rFonts w:ascii="宋体" w:hAnsi="宋体" w:hint="eastAsia"/>
                <w:b/>
                <w:szCs w:val="21"/>
              </w:rPr>
              <w:t>及</w:t>
            </w:r>
            <w:r>
              <w:rPr>
                <w:rFonts w:ascii="宋体" w:hAnsi="宋体"/>
                <w:b/>
                <w:szCs w:val="21"/>
              </w:rPr>
              <w:t>对</w:t>
            </w:r>
            <w:r>
              <w:rPr>
                <w:rFonts w:ascii="宋体" w:hAnsi="宋体" w:hint="eastAsia"/>
                <w:b/>
                <w:szCs w:val="21"/>
              </w:rPr>
              <w:t>产业</w:t>
            </w:r>
            <w:r>
              <w:rPr>
                <w:rFonts w:ascii="宋体" w:hAnsi="宋体"/>
                <w:b/>
                <w:szCs w:val="21"/>
              </w:rPr>
              <w:t>发展</w:t>
            </w:r>
            <w:r>
              <w:rPr>
                <w:rFonts w:ascii="宋体" w:hAnsi="宋体" w:hint="eastAsia"/>
                <w:b/>
                <w:szCs w:val="21"/>
              </w:rPr>
              <w:t>的影响</w:t>
            </w:r>
            <w:r>
              <w:rPr>
                <w:rFonts w:ascii="宋体" w:hAnsi="宋体"/>
                <w:b/>
                <w:szCs w:val="21"/>
              </w:rPr>
              <w:t>？</w:t>
            </w:r>
          </w:p>
          <w:p w:rsidR="000E59DE" w:rsidRDefault="008B2F57">
            <w:pPr>
              <w:spacing w:line="360" w:lineRule="auto"/>
              <w:jc w:val="left"/>
              <w:rPr>
                <w:rFonts w:ascii="宋体" w:hAnsi="宋体"/>
                <w:b/>
                <w:szCs w:val="21"/>
              </w:rPr>
            </w:pPr>
            <w:r>
              <w:rPr>
                <w:rFonts w:ascii="宋体" w:hAnsi="宋体" w:hint="eastAsia"/>
                <w:b/>
                <w:szCs w:val="21"/>
              </w:rPr>
              <w:t>答</w:t>
            </w:r>
            <w:r>
              <w:rPr>
                <w:rFonts w:ascii="宋体" w:hAnsi="宋体"/>
                <w:b/>
                <w:szCs w:val="21"/>
              </w:rPr>
              <w:t>：</w:t>
            </w:r>
            <w:r>
              <w:rPr>
                <w:rFonts w:ascii="宋体" w:hAnsi="宋体" w:hint="eastAsia"/>
                <w:szCs w:val="21"/>
              </w:rPr>
              <w:t>自 2015 年以来，我国停车产业政策密集出台。 国家政策方面， 2015 年 8 月，</w:t>
            </w:r>
            <w:proofErr w:type="gramStart"/>
            <w:r>
              <w:rPr>
                <w:rFonts w:ascii="宋体" w:hAnsi="宋体" w:hint="eastAsia"/>
                <w:szCs w:val="21"/>
              </w:rPr>
              <w:t>国家发改委</w:t>
            </w:r>
            <w:proofErr w:type="gramEnd"/>
            <w:r>
              <w:rPr>
                <w:rFonts w:ascii="宋体" w:hAnsi="宋体" w:hint="eastAsia"/>
                <w:szCs w:val="21"/>
              </w:rPr>
              <w:t>等七部委联合发布了《关于加强城市停车设施建设的指导意见》，，随后</w:t>
            </w:r>
            <w:proofErr w:type="gramStart"/>
            <w:r>
              <w:rPr>
                <w:rFonts w:ascii="宋体" w:hAnsi="宋体" w:hint="eastAsia"/>
                <w:szCs w:val="21"/>
              </w:rPr>
              <w:t>国家发改委</w:t>
            </w:r>
            <w:proofErr w:type="gramEnd"/>
            <w:r>
              <w:rPr>
                <w:rFonts w:ascii="宋体" w:hAnsi="宋体" w:hint="eastAsia"/>
                <w:szCs w:val="21"/>
              </w:rPr>
              <w:t>、住建部</w:t>
            </w:r>
            <w:r>
              <w:rPr>
                <w:rFonts w:ascii="宋体" w:hAnsi="宋体" w:hint="eastAsia"/>
                <w:szCs w:val="21"/>
              </w:rPr>
              <w:lastRenderedPageBreak/>
              <w:t>陆续出台</w:t>
            </w:r>
            <w:r>
              <w:rPr>
                <w:rFonts w:ascii="宋体" w:hAnsi="宋体"/>
                <w:szCs w:val="21"/>
              </w:rPr>
              <w:t>产业政策</w:t>
            </w:r>
            <w:r>
              <w:rPr>
                <w:rFonts w:ascii="宋体" w:hAnsi="宋体" w:hint="eastAsia"/>
                <w:szCs w:val="21"/>
              </w:rPr>
              <w:t>鼓励</w:t>
            </w:r>
            <w:r>
              <w:rPr>
                <w:rFonts w:ascii="宋体" w:hAnsi="宋体"/>
                <w:szCs w:val="21"/>
              </w:rPr>
              <w:t>发展停车</w:t>
            </w:r>
            <w:r>
              <w:rPr>
                <w:rFonts w:ascii="宋体" w:hAnsi="宋体" w:hint="eastAsia"/>
                <w:szCs w:val="21"/>
              </w:rPr>
              <w:t>设施</w:t>
            </w:r>
            <w:r>
              <w:rPr>
                <w:rFonts w:ascii="宋体" w:hAnsi="宋体"/>
                <w:szCs w:val="21"/>
              </w:rPr>
              <w:t>建设。</w:t>
            </w:r>
            <w:r>
              <w:rPr>
                <w:rFonts w:ascii="宋体" w:hAnsi="宋体" w:hint="eastAsia"/>
                <w:szCs w:val="21"/>
              </w:rPr>
              <w:t xml:space="preserve">地方政策方面， 2018 年 3 月，北京市政府颁布《北京市机动车停车管理条例》，该条例从政府的角度肯定了智慧停车的意义；2018 年 12 月， </w:t>
            </w:r>
            <w:proofErr w:type="gramStart"/>
            <w:r>
              <w:rPr>
                <w:rFonts w:ascii="宋体" w:hAnsi="宋体" w:hint="eastAsia"/>
                <w:szCs w:val="21"/>
              </w:rPr>
              <w:t>深圳市发改委</w:t>
            </w:r>
            <w:proofErr w:type="gramEnd"/>
            <w:r>
              <w:rPr>
                <w:rFonts w:ascii="宋体" w:hAnsi="宋体" w:hint="eastAsia"/>
                <w:szCs w:val="21"/>
              </w:rPr>
              <w:t>等 7 部门联合下发《深圳市机械式立体停车设施管理暂行办法的通知》，明确提到要鼓励社会资本参与停车场建设，大幅简化立体车库报建审批手续，突破行政审批限制。国家和地方政府密集出台的一系列停车行业的鼓励政策， 为停车行业的发展提供了良好的政策环境。</w:t>
            </w:r>
          </w:p>
          <w:p w:rsidR="000E59DE" w:rsidRDefault="000E59DE">
            <w:pPr>
              <w:spacing w:line="360" w:lineRule="auto"/>
              <w:jc w:val="left"/>
              <w:rPr>
                <w:b/>
                <w:sz w:val="24"/>
                <w:szCs w:val="24"/>
              </w:rPr>
            </w:pPr>
          </w:p>
        </w:tc>
      </w:tr>
      <w:tr w:rsidR="000E59DE">
        <w:trPr>
          <w:trHeight w:val="1275"/>
        </w:trPr>
        <w:tc>
          <w:tcPr>
            <w:tcW w:w="2518" w:type="dxa"/>
            <w:vAlign w:val="center"/>
          </w:tcPr>
          <w:p w:rsidR="000E59DE" w:rsidRDefault="008B2F57">
            <w:pPr>
              <w:spacing w:line="360" w:lineRule="auto"/>
              <w:jc w:val="center"/>
              <w:rPr>
                <w:sz w:val="24"/>
                <w:szCs w:val="24"/>
              </w:rPr>
            </w:pPr>
            <w:r>
              <w:rPr>
                <w:rFonts w:hint="eastAsia"/>
                <w:sz w:val="24"/>
                <w:szCs w:val="24"/>
              </w:rPr>
              <w:lastRenderedPageBreak/>
              <w:t>附件清单（如有）</w:t>
            </w:r>
          </w:p>
        </w:tc>
        <w:tc>
          <w:tcPr>
            <w:tcW w:w="6004" w:type="dxa"/>
            <w:vAlign w:val="center"/>
          </w:tcPr>
          <w:p w:rsidR="000E59DE" w:rsidRDefault="008B2F57">
            <w:pPr>
              <w:spacing w:line="360" w:lineRule="auto"/>
              <w:jc w:val="left"/>
              <w:rPr>
                <w:sz w:val="24"/>
                <w:szCs w:val="24"/>
              </w:rPr>
            </w:pPr>
            <w:r>
              <w:rPr>
                <w:rFonts w:hint="eastAsia"/>
                <w:sz w:val="24"/>
                <w:szCs w:val="24"/>
              </w:rPr>
              <w:t>无</w:t>
            </w:r>
          </w:p>
        </w:tc>
      </w:tr>
      <w:tr w:rsidR="000E59DE">
        <w:trPr>
          <w:trHeight w:val="1265"/>
        </w:trPr>
        <w:tc>
          <w:tcPr>
            <w:tcW w:w="2518" w:type="dxa"/>
            <w:vAlign w:val="center"/>
          </w:tcPr>
          <w:p w:rsidR="000E59DE" w:rsidRDefault="00787291">
            <w:pPr>
              <w:spacing w:line="360" w:lineRule="auto"/>
              <w:jc w:val="center"/>
              <w:rPr>
                <w:sz w:val="24"/>
                <w:szCs w:val="24"/>
              </w:rPr>
            </w:pPr>
            <w:r>
              <w:rPr>
                <w:rFonts w:hint="eastAsia"/>
                <w:sz w:val="24"/>
                <w:szCs w:val="24"/>
              </w:rPr>
              <w:t>日期</w:t>
            </w:r>
          </w:p>
        </w:tc>
        <w:tc>
          <w:tcPr>
            <w:tcW w:w="6004" w:type="dxa"/>
            <w:vAlign w:val="center"/>
          </w:tcPr>
          <w:p w:rsidR="000E59DE" w:rsidRDefault="00787291">
            <w:pPr>
              <w:spacing w:line="360" w:lineRule="auto"/>
              <w:jc w:val="left"/>
              <w:rPr>
                <w:sz w:val="24"/>
                <w:szCs w:val="24"/>
              </w:rPr>
            </w:pPr>
            <w:r>
              <w:rPr>
                <w:rFonts w:hint="eastAsia"/>
                <w:sz w:val="24"/>
                <w:szCs w:val="24"/>
              </w:rPr>
              <w:t>2019</w:t>
            </w:r>
            <w:r>
              <w:rPr>
                <w:rFonts w:hint="eastAsia"/>
                <w:sz w:val="24"/>
                <w:szCs w:val="24"/>
              </w:rPr>
              <w:t>年</w:t>
            </w:r>
            <w:r>
              <w:rPr>
                <w:rFonts w:hint="eastAsia"/>
                <w:sz w:val="24"/>
                <w:szCs w:val="24"/>
              </w:rPr>
              <w:t>5</w:t>
            </w:r>
            <w:r>
              <w:rPr>
                <w:rFonts w:hint="eastAsia"/>
                <w:sz w:val="24"/>
                <w:szCs w:val="24"/>
              </w:rPr>
              <w:t>月</w:t>
            </w:r>
            <w:r>
              <w:rPr>
                <w:rFonts w:hint="eastAsia"/>
                <w:sz w:val="24"/>
                <w:szCs w:val="24"/>
              </w:rPr>
              <w:t>16</w:t>
            </w:r>
            <w:r>
              <w:rPr>
                <w:rFonts w:hint="eastAsia"/>
                <w:sz w:val="24"/>
                <w:szCs w:val="24"/>
              </w:rPr>
              <w:t>日</w:t>
            </w:r>
          </w:p>
        </w:tc>
      </w:tr>
    </w:tbl>
    <w:p w:rsidR="000E59DE" w:rsidRDefault="000E59DE">
      <w:pPr>
        <w:spacing w:line="360" w:lineRule="auto"/>
        <w:rPr>
          <w:sz w:val="24"/>
          <w:szCs w:val="24"/>
        </w:rPr>
      </w:pPr>
    </w:p>
    <w:sectPr w:rsidR="000E59D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17FA" w:rsidRDefault="006417FA" w:rsidP="00787291">
      <w:r>
        <w:separator/>
      </w:r>
    </w:p>
  </w:endnote>
  <w:endnote w:type="continuationSeparator" w:id="0">
    <w:p w:rsidR="006417FA" w:rsidRDefault="006417FA" w:rsidP="00787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17FA" w:rsidRDefault="006417FA" w:rsidP="00787291">
      <w:r>
        <w:separator/>
      </w:r>
    </w:p>
  </w:footnote>
  <w:footnote w:type="continuationSeparator" w:id="0">
    <w:p w:rsidR="006417FA" w:rsidRDefault="006417FA" w:rsidP="007872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E59DE"/>
    <w:rsid w:val="000E59DE"/>
    <w:rsid w:val="001A0FBF"/>
    <w:rsid w:val="005121AD"/>
    <w:rsid w:val="006417FA"/>
    <w:rsid w:val="00787291"/>
    <w:rsid w:val="008B2F57"/>
    <w:rsid w:val="008C05E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宋体"/>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header"/>
    <w:basedOn w:val="a"/>
    <w:link w:val="Char"/>
    <w:uiPriority w:val="9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Pr>
      <w:sz w:val="18"/>
      <w:szCs w:val="18"/>
    </w:rPr>
  </w:style>
  <w:style w:type="paragraph" w:styleId="a5">
    <w:name w:val="footer"/>
    <w:basedOn w:val="a"/>
    <w:link w:val="Char0"/>
    <w:uiPriority w:val="99"/>
    <w:pPr>
      <w:tabs>
        <w:tab w:val="center" w:pos="4153"/>
        <w:tab w:val="right" w:pos="8306"/>
      </w:tabs>
      <w:snapToGrid w:val="0"/>
      <w:jc w:val="left"/>
    </w:pPr>
    <w:rPr>
      <w:sz w:val="18"/>
      <w:szCs w:val="18"/>
    </w:rPr>
  </w:style>
  <w:style w:type="character" w:customStyle="1" w:styleId="Char0">
    <w:name w:val="页脚 Char"/>
    <w:basedOn w:val="a0"/>
    <w:link w:val="a5"/>
    <w:uiPriority w:val="99"/>
    <w:rPr>
      <w:sz w:val="18"/>
      <w:szCs w:val="18"/>
    </w:rPr>
  </w:style>
  <w:style w:type="character" w:customStyle="1" w:styleId="fontstyle01">
    <w:name w:val="fontstyle01"/>
    <w:basedOn w:val="a0"/>
    <w:rPr>
      <w:rFonts w:ascii="宋体" w:eastAsia="宋体" w:hAnsi="宋体" w:hint="eastAsia"/>
      <w:b w:val="0"/>
      <w:bCs w:val="0"/>
      <w:i w:val="0"/>
      <w:iCs w:val="0"/>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92B376-4E20-4EE4-8112-D0E9ACC2B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617</TotalTime>
  <Pages>3</Pages>
  <Words>245</Words>
  <Characters>1399</Characters>
  <Application>Microsoft Office Word</Application>
  <DocSecurity>0</DocSecurity>
  <Lines>11</Lines>
  <Paragraphs>3</Paragraphs>
  <ScaleCrop>false</ScaleCrop>
  <Company>Microsoft</Company>
  <LinksUpToDate>false</LinksUpToDate>
  <CharactersWithSpaces>1641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Windows 用户</cp:lastModifiedBy>
  <cp:revision>72</cp:revision>
  <cp:lastPrinted>2016-05-03T08:44:00Z</cp:lastPrinted>
  <dcterms:created xsi:type="dcterms:W3CDTF">2016-05-03T07:52:00Z</dcterms:created>
  <dcterms:modified xsi:type="dcterms:W3CDTF">2019-05-17T06:32:00Z</dcterms:modified>
</cp:coreProperties>
</file>