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905B" w14:textId="77777777" w:rsidR="00C12F6D" w:rsidRPr="004C7A86" w:rsidRDefault="00C12F6D" w:rsidP="007D59BF">
      <w:pPr>
        <w:spacing w:beforeLines="50" w:before="156" w:afterLines="50" w:after="156" w:line="400" w:lineRule="exact"/>
        <w:ind w:firstLineChars="300" w:firstLine="723"/>
        <w:rPr>
          <w:rFonts w:ascii="宋体" w:hAnsi="宋体"/>
          <w:b/>
          <w:bCs/>
          <w:iCs/>
          <w:sz w:val="24"/>
        </w:rPr>
      </w:pPr>
      <w:r w:rsidRPr="004C7A86">
        <w:rPr>
          <w:rFonts w:ascii="宋体" w:hAnsi="宋体" w:hint="eastAsia"/>
          <w:b/>
          <w:bCs/>
          <w:iCs/>
          <w:sz w:val="24"/>
        </w:rPr>
        <w:t>证券代码：</w:t>
      </w:r>
      <w:r w:rsidR="004C7A86" w:rsidRPr="001D2245">
        <w:rPr>
          <w:b/>
          <w:bCs/>
          <w:iCs/>
          <w:sz w:val="24"/>
        </w:rPr>
        <w:t>002659</w:t>
      </w:r>
      <w:r w:rsidRPr="001D2245">
        <w:rPr>
          <w:b/>
          <w:bCs/>
          <w:iCs/>
          <w:sz w:val="24"/>
        </w:rPr>
        <w:t xml:space="preserve"> </w:t>
      </w:r>
      <w:r w:rsidRPr="004C7A86">
        <w:rPr>
          <w:rFonts w:ascii="宋体" w:hAnsi="宋体" w:hint="eastAsia"/>
          <w:b/>
          <w:bCs/>
          <w:iCs/>
          <w:sz w:val="24"/>
        </w:rPr>
        <w:t xml:space="preserve">                        证券简称：</w:t>
      </w:r>
      <w:r w:rsidR="00066C1A">
        <w:rPr>
          <w:rFonts w:ascii="宋体" w:hAnsi="宋体" w:hint="eastAsia"/>
          <w:b/>
          <w:bCs/>
          <w:iCs/>
          <w:sz w:val="24"/>
        </w:rPr>
        <w:t>凯文教育</w:t>
      </w:r>
    </w:p>
    <w:p w14:paraId="0789C748" w14:textId="77777777" w:rsidR="004C7A86" w:rsidRPr="004C7A86" w:rsidRDefault="00066C1A" w:rsidP="00C12F6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>
        <w:rPr>
          <w:rFonts w:ascii="宋体" w:hAnsi="宋体" w:hint="eastAsia"/>
          <w:b/>
          <w:bCs/>
          <w:iCs/>
          <w:sz w:val="28"/>
          <w:szCs w:val="28"/>
        </w:rPr>
        <w:t>北京凯文德信教育科技</w:t>
      </w:r>
      <w:r w:rsidR="00C12F6D" w:rsidRPr="004C7A86">
        <w:rPr>
          <w:rFonts w:ascii="宋体" w:hAnsi="宋体" w:hint="eastAsia"/>
          <w:b/>
          <w:bCs/>
          <w:iCs/>
          <w:sz w:val="28"/>
          <w:szCs w:val="28"/>
        </w:rPr>
        <w:t>股份有限公司</w:t>
      </w:r>
    </w:p>
    <w:p w14:paraId="4BAECEED" w14:textId="77777777" w:rsidR="00C12F6D" w:rsidRPr="004C7A86" w:rsidRDefault="00C12F6D" w:rsidP="00C12F6D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 w:rsidRPr="004C7A86">
        <w:rPr>
          <w:rFonts w:ascii="宋体" w:hAnsi="宋体" w:hint="eastAsia"/>
          <w:b/>
          <w:bCs/>
          <w:iCs/>
          <w:sz w:val="28"/>
          <w:szCs w:val="28"/>
        </w:rPr>
        <w:t>投资者关系活动记录表</w:t>
      </w:r>
    </w:p>
    <w:p w14:paraId="0C4535AA" w14:textId="73CEE54C" w:rsidR="00C12F6D" w:rsidRDefault="00C12F6D" w:rsidP="00C12F6D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</w:t>
      </w:r>
      <w:r w:rsidRPr="00CD5A01">
        <w:rPr>
          <w:rFonts w:ascii="宋体" w:hAnsi="宋体" w:hint="eastAsia"/>
          <w:bCs/>
          <w:iCs/>
          <w:sz w:val="24"/>
          <w:szCs w:val="24"/>
        </w:rPr>
        <w:t>号</w:t>
      </w:r>
      <w:r w:rsidRPr="00CD5A01">
        <w:rPr>
          <w:bCs/>
          <w:iCs/>
          <w:sz w:val="24"/>
          <w:szCs w:val="24"/>
        </w:rPr>
        <w:t>：</w:t>
      </w:r>
      <w:r w:rsidR="004C7A86" w:rsidRPr="00CD5A01">
        <w:rPr>
          <w:bCs/>
          <w:iCs/>
          <w:sz w:val="24"/>
          <w:szCs w:val="24"/>
        </w:rPr>
        <w:t>201</w:t>
      </w:r>
      <w:r w:rsidR="00FB54E5">
        <w:rPr>
          <w:bCs/>
          <w:iCs/>
          <w:sz w:val="24"/>
          <w:szCs w:val="24"/>
        </w:rPr>
        <w:t>9</w:t>
      </w:r>
      <w:r w:rsidR="004C7A86" w:rsidRPr="00CD5A01">
        <w:rPr>
          <w:bCs/>
          <w:iCs/>
          <w:sz w:val="24"/>
          <w:szCs w:val="24"/>
        </w:rPr>
        <w:t>-00</w:t>
      </w:r>
      <w:r w:rsidR="00FB54E5">
        <w:rPr>
          <w:bCs/>
          <w:iCs/>
          <w:sz w:val="24"/>
          <w:szCs w:val="24"/>
        </w:rPr>
        <w:t>5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05"/>
      </w:tblGrid>
      <w:tr w:rsidR="00C12F6D" w14:paraId="5EC4341E" w14:textId="77777777" w:rsidTr="000661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CE2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67E607CB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3F3" w14:textId="77777777" w:rsidR="00C12F6D" w:rsidRDefault="00E817E5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■</w:t>
            </w:r>
            <w:r w:rsidR="00C12F6D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C12F6D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C12F6D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0B2C9F20" w14:textId="77777777" w:rsidR="00C12F6D" w:rsidRDefault="00C12F6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49E14D31" w14:textId="77777777" w:rsidR="00C12F6D" w:rsidRDefault="00C12F6D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="00E817E5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635B1DFA" w14:textId="77777777" w:rsidR="00C12F6D" w:rsidRDefault="000053BB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■</w:t>
            </w:r>
            <w:r w:rsidR="00C12F6D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C12F6D">
              <w:rPr>
                <w:rFonts w:ascii="宋体" w:hAnsi="宋体" w:hint="eastAsia"/>
                <w:bCs/>
                <w:iCs/>
                <w:sz w:val="24"/>
                <w:szCs w:val="24"/>
              </w:rPr>
              <w:tab/>
            </w:r>
          </w:p>
          <w:p w14:paraId="3999DD1B" w14:textId="7EE274EA" w:rsidR="00C12F6D" w:rsidRDefault="00C12F6D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C12F6D" w14:paraId="1CEDDA62" w14:textId="77777777" w:rsidTr="00943336">
        <w:trPr>
          <w:trHeight w:val="10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3E8A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6469" w14:textId="77777777" w:rsidR="006B69E5" w:rsidRPr="00DE6F1D" w:rsidRDefault="00943336" w:rsidP="00870791">
            <w:pPr>
              <w:rPr>
                <w:bCs/>
                <w:iCs/>
                <w:sz w:val="24"/>
                <w:szCs w:val="24"/>
              </w:rPr>
            </w:pPr>
            <w:bookmarkStart w:id="0" w:name="_GoBack"/>
            <w:r w:rsidRPr="00DE6F1D">
              <w:rPr>
                <w:rFonts w:hint="eastAsia"/>
                <w:bCs/>
                <w:iCs/>
                <w:sz w:val="24"/>
                <w:szCs w:val="24"/>
              </w:rPr>
              <w:t>中</w:t>
            </w:r>
            <w:proofErr w:type="gramStart"/>
            <w:r w:rsidRPr="00DE6F1D">
              <w:rPr>
                <w:rFonts w:hint="eastAsia"/>
                <w:bCs/>
                <w:iCs/>
                <w:sz w:val="24"/>
                <w:szCs w:val="24"/>
              </w:rPr>
              <w:t>信建投</w:t>
            </w:r>
            <w:proofErr w:type="gramEnd"/>
            <w:r w:rsidRPr="00DE6F1D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 w:rsidRPr="00DE6F1D">
              <w:rPr>
                <w:rFonts w:hint="eastAsia"/>
                <w:bCs/>
                <w:iCs/>
                <w:sz w:val="24"/>
                <w:szCs w:val="24"/>
              </w:rPr>
              <w:t>刘京昭</w:t>
            </w:r>
          </w:p>
          <w:p w14:paraId="52FBB223" w14:textId="723DD198" w:rsidR="00943336" w:rsidRPr="006B69E5" w:rsidRDefault="00943336" w:rsidP="00870791">
            <w:pPr>
              <w:rPr>
                <w:color w:val="000000"/>
                <w:sz w:val="22"/>
                <w:szCs w:val="22"/>
              </w:rPr>
            </w:pPr>
            <w:r w:rsidRPr="00DE6F1D">
              <w:rPr>
                <w:rFonts w:hint="eastAsia"/>
                <w:bCs/>
                <w:iCs/>
                <w:sz w:val="24"/>
                <w:szCs w:val="24"/>
              </w:rPr>
              <w:t>知合资本</w:t>
            </w:r>
            <w:r w:rsidRPr="00DE6F1D"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E6F1D">
              <w:rPr>
                <w:rFonts w:hint="eastAsia"/>
                <w:bCs/>
                <w:iCs/>
                <w:sz w:val="24"/>
                <w:szCs w:val="24"/>
              </w:rPr>
              <w:t>李佳玉</w:t>
            </w:r>
            <w:bookmarkEnd w:id="0"/>
            <w:proofErr w:type="gramEnd"/>
          </w:p>
        </w:tc>
      </w:tr>
      <w:tr w:rsidR="00C12F6D" w14:paraId="42A698EE" w14:textId="77777777" w:rsidTr="000661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AA21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AD98" w14:textId="3ADF6CA2" w:rsidR="00C12F6D" w:rsidRPr="006B69E5" w:rsidRDefault="004C7A86" w:rsidP="006B69E5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6B69E5">
              <w:rPr>
                <w:bCs/>
                <w:iCs/>
                <w:sz w:val="24"/>
                <w:szCs w:val="24"/>
              </w:rPr>
              <w:t>201</w:t>
            </w:r>
            <w:r w:rsidR="00943336">
              <w:rPr>
                <w:bCs/>
                <w:iCs/>
                <w:sz w:val="24"/>
                <w:szCs w:val="24"/>
              </w:rPr>
              <w:t>9</w:t>
            </w:r>
            <w:r w:rsidRPr="006B69E5">
              <w:rPr>
                <w:bCs/>
                <w:iCs/>
                <w:sz w:val="24"/>
                <w:szCs w:val="24"/>
              </w:rPr>
              <w:t>年</w:t>
            </w:r>
            <w:r w:rsidR="00943336">
              <w:rPr>
                <w:bCs/>
                <w:iCs/>
                <w:sz w:val="24"/>
                <w:szCs w:val="24"/>
              </w:rPr>
              <w:t>5</w:t>
            </w:r>
            <w:r w:rsidRPr="006B69E5">
              <w:rPr>
                <w:bCs/>
                <w:iCs/>
                <w:sz w:val="24"/>
                <w:szCs w:val="24"/>
              </w:rPr>
              <w:t>月</w:t>
            </w:r>
            <w:r w:rsidR="00943336">
              <w:rPr>
                <w:bCs/>
                <w:iCs/>
                <w:sz w:val="24"/>
                <w:szCs w:val="24"/>
              </w:rPr>
              <w:t>18</w:t>
            </w:r>
            <w:r w:rsidRPr="006B69E5">
              <w:rPr>
                <w:bCs/>
                <w:iCs/>
                <w:sz w:val="24"/>
                <w:szCs w:val="24"/>
              </w:rPr>
              <w:t>日</w:t>
            </w:r>
            <w:r w:rsidR="00E817E5" w:rsidRPr="006B69E5">
              <w:rPr>
                <w:rFonts w:hint="eastAsia"/>
                <w:bCs/>
                <w:iCs/>
                <w:sz w:val="24"/>
                <w:szCs w:val="24"/>
              </w:rPr>
              <w:t>（星期</w:t>
            </w:r>
            <w:r w:rsidR="00943336">
              <w:rPr>
                <w:rFonts w:hint="eastAsia"/>
                <w:bCs/>
                <w:iCs/>
                <w:sz w:val="24"/>
                <w:szCs w:val="24"/>
              </w:rPr>
              <w:t>六</w:t>
            </w:r>
            <w:r w:rsidR="00E817E5" w:rsidRPr="006B69E5">
              <w:rPr>
                <w:rFonts w:hint="eastAsia"/>
                <w:bCs/>
                <w:iCs/>
                <w:sz w:val="24"/>
                <w:szCs w:val="24"/>
              </w:rPr>
              <w:t>）</w:t>
            </w:r>
            <w:r w:rsidR="00943336">
              <w:rPr>
                <w:bCs/>
                <w:iCs/>
                <w:sz w:val="24"/>
                <w:szCs w:val="24"/>
              </w:rPr>
              <w:t>09</w:t>
            </w:r>
            <w:r w:rsidR="006B69E5" w:rsidRPr="006B69E5">
              <w:rPr>
                <w:rFonts w:hint="eastAsia"/>
                <w:bCs/>
                <w:iCs/>
                <w:sz w:val="24"/>
                <w:szCs w:val="24"/>
              </w:rPr>
              <w:t>:00</w:t>
            </w:r>
            <w:r w:rsidR="00CE38C3" w:rsidRPr="006B69E5">
              <w:rPr>
                <w:rFonts w:hint="eastAsia"/>
                <w:bCs/>
                <w:iCs/>
                <w:sz w:val="24"/>
                <w:szCs w:val="24"/>
              </w:rPr>
              <w:t>-1</w:t>
            </w:r>
            <w:r w:rsidR="00943336">
              <w:rPr>
                <w:bCs/>
                <w:iCs/>
                <w:sz w:val="24"/>
                <w:szCs w:val="24"/>
              </w:rPr>
              <w:t>2</w:t>
            </w:r>
            <w:r w:rsidR="006B69E5" w:rsidRPr="006B69E5">
              <w:rPr>
                <w:rFonts w:hint="eastAsia"/>
                <w:bCs/>
                <w:iCs/>
                <w:sz w:val="24"/>
                <w:szCs w:val="24"/>
              </w:rPr>
              <w:t>:</w:t>
            </w:r>
            <w:r w:rsidR="00CE38C3" w:rsidRPr="006B69E5">
              <w:rPr>
                <w:rFonts w:hint="eastAsia"/>
                <w:bCs/>
                <w:iCs/>
                <w:sz w:val="24"/>
                <w:szCs w:val="24"/>
              </w:rPr>
              <w:t>00</w:t>
            </w:r>
          </w:p>
        </w:tc>
      </w:tr>
      <w:tr w:rsidR="00C12F6D" w14:paraId="3E3DD353" w14:textId="77777777" w:rsidTr="000661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ADEB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079" w14:textId="0F5842EC" w:rsidR="00C12F6D" w:rsidRPr="006B69E5" w:rsidRDefault="00CE38C3" w:rsidP="00474AA1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6B69E5">
              <w:rPr>
                <w:rFonts w:hint="eastAsia"/>
                <w:bCs/>
                <w:iCs/>
                <w:sz w:val="24"/>
                <w:szCs w:val="24"/>
              </w:rPr>
              <w:t>北京</w:t>
            </w:r>
            <w:r w:rsidR="00943336">
              <w:rPr>
                <w:rFonts w:hint="eastAsia"/>
                <w:bCs/>
                <w:iCs/>
                <w:sz w:val="24"/>
                <w:szCs w:val="24"/>
              </w:rPr>
              <w:t>海淀</w:t>
            </w:r>
            <w:r w:rsidRPr="006B69E5">
              <w:rPr>
                <w:rFonts w:hint="eastAsia"/>
                <w:bCs/>
                <w:iCs/>
                <w:sz w:val="24"/>
                <w:szCs w:val="24"/>
              </w:rPr>
              <w:t>凯文学校</w:t>
            </w:r>
          </w:p>
        </w:tc>
      </w:tr>
      <w:tr w:rsidR="00C12F6D" w14:paraId="2CD7A641" w14:textId="77777777" w:rsidTr="0094333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EA2C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DB7" w14:textId="2B391638" w:rsidR="00C12F6D" w:rsidRPr="009B3965" w:rsidRDefault="00372732" w:rsidP="00564680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董事办公室工作人员</w:t>
            </w:r>
            <w:r>
              <w:rPr>
                <w:rFonts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sz w:val="24"/>
                <w:szCs w:val="24"/>
              </w:rPr>
              <w:t>黄博志</w:t>
            </w:r>
            <w:proofErr w:type="gramEnd"/>
          </w:p>
        </w:tc>
      </w:tr>
      <w:tr w:rsidR="00C12F6D" w14:paraId="690C5D95" w14:textId="77777777" w:rsidTr="000661B9">
        <w:trPr>
          <w:trHeight w:val="175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1B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1082B17D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14A2" w14:textId="3FBC5D3C" w:rsidR="00B7239A" w:rsidRPr="00B7239A" w:rsidRDefault="00C80955" w:rsidP="00B7239A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董事办公室工作人员</w:t>
            </w:r>
            <w:r w:rsidR="00B7239A" w:rsidRPr="00B7239A">
              <w:rPr>
                <w:rFonts w:hint="eastAsia"/>
                <w:sz w:val="24"/>
                <w:szCs w:val="24"/>
              </w:rPr>
              <w:t>带领投资者</w:t>
            </w:r>
            <w:r w:rsidR="00B7239A">
              <w:rPr>
                <w:rFonts w:hint="eastAsia"/>
                <w:sz w:val="24"/>
                <w:szCs w:val="24"/>
              </w:rPr>
              <w:t>参加了</w:t>
            </w:r>
            <w:r w:rsidR="0099452D">
              <w:rPr>
                <w:rFonts w:hint="eastAsia"/>
                <w:sz w:val="24"/>
                <w:szCs w:val="24"/>
              </w:rPr>
              <w:t>“</w:t>
            </w:r>
            <w:r w:rsidR="0099452D" w:rsidRPr="0099452D">
              <w:rPr>
                <w:rFonts w:hint="eastAsia"/>
                <w:sz w:val="24"/>
                <w:szCs w:val="24"/>
              </w:rPr>
              <w:t>海淀凯文</w:t>
            </w:r>
            <w:r w:rsidR="0099452D" w:rsidRPr="0099452D">
              <w:rPr>
                <w:rFonts w:hint="eastAsia"/>
                <w:sz w:val="24"/>
                <w:szCs w:val="24"/>
              </w:rPr>
              <w:t>518</w:t>
            </w:r>
            <w:r w:rsidR="0099452D" w:rsidRPr="0099452D">
              <w:rPr>
                <w:rFonts w:hint="eastAsia"/>
                <w:sz w:val="24"/>
                <w:szCs w:val="24"/>
              </w:rPr>
              <w:t>夏季大型校园开放日</w:t>
            </w:r>
            <w:r w:rsidR="0099452D">
              <w:rPr>
                <w:rFonts w:hint="eastAsia"/>
                <w:sz w:val="24"/>
                <w:szCs w:val="24"/>
              </w:rPr>
              <w:t>”活动</w:t>
            </w:r>
            <w:r w:rsidR="00EE3BA9">
              <w:rPr>
                <w:rFonts w:hint="eastAsia"/>
                <w:sz w:val="24"/>
                <w:szCs w:val="24"/>
              </w:rPr>
              <w:t>；随后，</w:t>
            </w:r>
            <w:r w:rsidR="00EE3BA9" w:rsidRPr="00B7239A">
              <w:rPr>
                <w:rFonts w:hint="eastAsia"/>
                <w:sz w:val="24"/>
                <w:szCs w:val="24"/>
              </w:rPr>
              <w:t>参观北京海淀凯文学校</w:t>
            </w:r>
            <w:r w:rsidR="00EE3BA9">
              <w:rPr>
                <w:rFonts w:hint="eastAsia"/>
                <w:sz w:val="24"/>
                <w:szCs w:val="24"/>
              </w:rPr>
              <w:t>。</w:t>
            </w:r>
          </w:p>
          <w:p w14:paraId="3DAEBA30" w14:textId="673F2D23" w:rsidR="00943336" w:rsidRPr="00943336" w:rsidRDefault="0035138F" w:rsidP="00B7239A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</w:t>
            </w:r>
            <w:r w:rsidR="00943336" w:rsidRPr="00943336">
              <w:rPr>
                <w:rFonts w:hint="eastAsia"/>
                <w:b/>
                <w:sz w:val="24"/>
                <w:szCs w:val="24"/>
              </w:rPr>
              <w:t>北京凯文学校基本情况</w:t>
            </w:r>
          </w:p>
          <w:p w14:paraId="7E267BF8" w14:textId="619C211A" w:rsidR="00943336" w:rsidRDefault="00943336" w:rsidP="0094333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北京海淀凯文学校位于玉泉山脚下，占地面积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万平方米，绿化面积达</w:t>
            </w:r>
            <w:r>
              <w:rPr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万平方米，是一所特色园林式校园。</w:t>
            </w:r>
          </w:p>
          <w:p w14:paraId="428F02FD" w14:textId="77777777" w:rsidR="00B7239A" w:rsidRDefault="00943336" w:rsidP="00B7239A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北京海淀凯文学校的课程体系为</w:t>
            </w:r>
            <w:r>
              <w:rPr>
                <w:sz w:val="24"/>
                <w:szCs w:val="24"/>
              </w:rPr>
              <w:t>AP</w:t>
            </w:r>
            <w:r>
              <w:rPr>
                <w:rFonts w:hint="eastAsia"/>
                <w:sz w:val="24"/>
                <w:szCs w:val="24"/>
              </w:rPr>
              <w:t>，已通过美国大学理事会认证，为具有国际标准的</w:t>
            </w:r>
            <w:r>
              <w:rPr>
                <w:sz w:val="24"/>
                <w:szCs w:val="24"/>
              </w:rPr>
              <w:t>AP</w:t>
            </w:r>
            <w:r>
              <w:rPr>
                <w:rFonts w:hint="eastAsia"/>
                <w:sz w:val="24"/>
                <w:szCs w:val="24"/>
              </w:rPr>
              <w:t>课程。在艺体课程方面，为学生提供优质的学习环境、课程体系和教学团队。</w:t>
            </w:r>
            <w:proofErr w:type="gramStart"/>
            <w:r>
              <w:rPr>
                <w:rFonts w:hint="eastAsia"/>
                <w:sz w:val="24"/>
                <w:szCs w:val="24"/>
              </w:rPr>
              <w:t>不</w:t>
            </w:r>
            <w:proofErr w:type="gramEnd"/>
            <w:r>
              <w:rPr>
                <w:rFonts w:hint="eastAsia"/>
                <w:sz w:val="24"/>
                <w:szCs w:val="24"/>
              </w:rPr>
              <w:t>同学段的学生享有专属的体育馆和球场，以及专业级别的音乐、美术、舞蹈教室，从而保证学生能够达到国际化教育对综合素质的高水准要求。学校配有完善的室内</w:t>
            </w:r>
            <w:proofErr w:type="gramStart"/>
            <w:r>
              <w:rPr>
                <w:rFonts w:hint="eastAsia"/>
                <w:sz w:val="24"/>
                <w:szCs w:val="24"/>
              </w:rPr>
              <w:t>外体育</w:t>
            </w:r>
            <w:proofErr w:type="gramEnd"/>
            <w:r>
              <w:rPr>
                <w:rFonts w:hint="eastAsia"/>
                <w:sz w:val="24"/>
                <w:szCs w:val="24"/>
              </w:rPr>
              <w:t>设施，包括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米环校生态跑道、符合国际足联比赛标准的足球场、室外高尔夫练习场、</w:t>
            </w:r>
            <w:r>
              <w:rPr>
                <w:rFonts w:hint="eastAsia"/>
                <w:sz w:val="24"/>
                <w:szCs w:val="24"/>
              </w:rPr>
              <w:lastRenderedPageBreak/>
              <w:t>美国职业棒球大联盟设计督造的棒球场以及室外篮球场、网球场等。</w:t>
            </w:r>
          </w:p>
          <w:p w14:paraId="7A2BBBC8" w14:textId="2E50BD26" w:rsidR="00B7239A" w:rsidRDefault="0035138F" w:rsidP="00EE3BA9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2"/>
              <w:rPr>
                <w:b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  <w:iCs/>
                <w:sz w:val="24"/>
                <w:szCs w:val="24"/>
              </w:rPr>
              <w:t>二、</w:t>
            </w:r>
            <w:r w:rsidR="00C80955">
              <w:rPr>
                <w:rFonts w:hint="eastAsia"/>
                <w:b/>
                <w:bCs/>
                <w:iCs/>
                <w:sz w:val="24"/>
                <w:szCs w:val="24"/>
              </w:rPr>
              <w:t>参加</w:t>
            </w:r>
            <w:r w:rsidR="0099452D">
              <w:rPr>
                <w:rFonts w:hint="eastAsia"/>
                <w:b/>
                <w:bCs/>
                <w:iCs/>
                <w:sz w:val="24"/>
                <w:szCs w:val="24"/>
              </w:rPr>
              <w:t>“</w:t>
            </w:r>
            <w:r w:rsidR="0099452D" w:rsidRPr="0099452D">
              <w:rPr>
                <w:rFonts w:hint="eastAsia"/>
                <w:b/>
                <w:bCs/>
                <w:iCs/>
                <w:sz w:val="24"/>
                <w:szCs w:val="24"/>
              </w:rPr>
              <w:t>海淀凯文</w:t>
            </w:r>
            <w:r w:rsidR="0099452D" w:rsidRPr="0099452D">
              <w:rPr>
                <w:rFonts w:hint="eastAsia"/>
                <w:b/>
                <w:bCs/>
                <w:iCs/>
                <w:sz w:val="24"/>
                <w:szCs w:val="24"/>
              </w:rPr>
              <w:t>518</w:t>
            </w:r>
            <w:r w:rsidR="0099452D" w:rsidRPr="0099452D">
              <w:rPr>
                <w:rFonts w:hint="eastAsia"/>
                <w:b/>
                <w:bCs/>
                <w:iCs/>
                <w:sz w:val="24"/>
                <w:szCs w:val="24"/>
              </w:rPr>
              <w:t>夏季大型校园开放日”活动</w:t>
            </w:r>
            <w:r w:rsidR="00C80955">
              <w:rPr>
                <w:rFonts w:hint="eastAsia"/>
                <w:b/>
                <w:bCs/>
                <w:iCs/>
                <w:sz w:val="24"/>
                <w:szCs w:val="24"/>
              </w:rPr>
              <w:t>的</w:t>
            </w:r>
            <w:r w:rsidR="0099452D">
              <w:rPr>
                <w:rFonts w:hint="eastAsia"/>
                <w:b/>
                <w:bCs/>
                <w:iCs/>
                <w:sz w:val="24"/>
                <w:szCs w:val="24"/>
              </w:rPr>
              <w:t>主要</w:t>
            </w:r>
            <w:r w:rsidR="00C80955">
              <w:rPr>
                <w:rFonts w:hint="eastAsia"/>
                <w:b/>
                <w:bCs/>
                <w:iCs/>
                <w:sz w:val="24"/>
                <w:szCs w:val="24"/>
              </w:rPr>
              <w:t>内容</w:t>
            </w:r>
            <w:r w:rsidR="00B7239A" w:rsidRPr="00B7239A">
              <w:rPr>
                <w:rFonts w:hint="eastAsia"/>
                <w:b/>
                <w:bCs/>
                <w:iCs/>
                <w:sz w:val="24"/>
                <w:szCs w:val="24"/>
              </w:rPr>
              <w:t>与</w:t>
            </w:r>
            <w:r w:rsidR="00C80955">
              <w:rPr>
                <w:rFonts w:hint="eastAsia"/>
                <w:b/>
                <w:bCs/>
                <w:iCs/>
                <w:sz w:val="24"/>
                <w:szCs w:val="24"/>
              </w:rPr>
              <w:t>流程</w:t>
            </w:r>
          </w:p>
          <w:p w14:paraId="58643F26" w14:textId="7A430E41" w:rsidR="00372732" w:rsidRDefault="0099452D" w:rsidP="00372732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 w:rsidRPr="0099452D">
              <w:rPr>
                <w:rFonts w:hint="eastAsia"/>
                <w:bCs/>
                <w:iCs/>
                <w:sz w:val="24"/>
                <w:szCs w:val="24"/>
              </w:rPr>
              <w:t>“海淀凯文</w:t>
            </w:r>
            <w:r w:rsidRPr="0099452D">
              <w:rPr>
                <w:rFonts w:hint="eastAsia"/>
                <w:bCs/>
                <w:iCs/>
                <w:sz w:val="24"/>
                <w:szCs w:val="24"/>
              </w:rPr>
              <w:t>518</w:t>
            </w:r>
            <w:r w:rsidRPr="0099452D">
              <w:rPr>
                <w:rFonts w:hint="eastAsia"/>
                <w:bCs/>
                <w:iCs/>
                <w:sz w:val="24"/>
                <w:szCs w:val="24"/>
              </w:rPr>
              <w:t>夏季大型校园开放日”为</w:t>
            </w:r>
            <w:r w:rsidRPr="0099452D">
              <w:rPr>
                <w:rFonts w:hint="eastAsia"/>
                <w:sz w:val="24"/>
                <w:szCs w:val="24"/>
              </w:rPr>
              <w:t>北京海淀凯文学校针对学生和家长组织的参观体验活动。</w:t>
            </w:r>
            <w:r>
              <w:rPr>
                <w:rFonts w:hint="eastAsia"/>
                <w:sz w:val="24"/>
                <w:szCs w:val="24"/>
              </w:rPr>
              <w:t>活动</w:t>
            </w:r>
            <w:r w:rsidR="0035138F">
              <w:rPr>
                <w:rFonts w:hint="eastAsia"/>
                <w:sz w:val="24"/>
                <w:szCs w:val="24"/>
              </w:rPr>
              <w:t>主要内容为</w:t>
            </w:r>
            <w:r>
              <w:rPr>
                <w:rFonts w:hint="eastAsia"/>
                <w:sz w:val="24"/>
                <w:szCs w:val="24"/>
              </w:rPr>
              <w:t>学校介绍</w:t>
            </w:r>
            <w:r w:rsidR="0035138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课程宣讲、学生体验课、校园参观等内容。</w:t>
            </w:r>
            <w:r w:rsidR="0035138F">
              <w:rPr>
                <w:rFonts w:hint="eastAsia"/>
                <w:sz w:val="24"/>
                <w:szCs w:val="24"/>
              </w:rPr>
              <w:t>投资者</w:t>
            </w:r>
            <w:r w:rsidR="00C80955">
              <w:rPr>
                <w:rFonts w:hint="eastAsia"/>
                <w:sz w:val="24"/>
                <w:szCs w:val="24"/>
              </w:rPr>
              <w:t>与</w:t>
            </w:r>
            <w:r w:rsidR="0035138F">
              <w:rPr>
                <w:rFonts w:hint="eastAsia"/>
                <w:sz w:val="24"/>
                <w:szCs w:val="24"/>
              </w:rPr>
              <w:t>家长一齐参加上述活动</w:t>
            </w:r>
            <w:r w:rsidR="00E764C8">
              <w:rPr>
                <w:rFonts w:hint="eastAsia"/>
                <w:sz w:val="24"/>
                <w:szCs w:val="24"/>
              </w:rPr>
              <w:t>：</w:t>
            </w:r>
          </w:p>
          <w:p w14:paraId="5242F376" w14:textId="18D77577" w:rsidR="00E764C8" w:rsidRDefault="00E764C8" w:rsidP="00372732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，在报告厅听取了</w:t>
            </w:r>
            <w:r w:rsidR="00372732">
              <w:rPr>
                <w:rFonts w:hint="eastAsia"/>
                <w:sz w:val="24"/>
                <w:szCs w:val="24"/>
              </w:rPr>
              <w:t>海淀学校</w:t>
            </w:r>
            <w:r>
              <w:rPr>
                <w:rFonts w:hint="eastAsia"/>
                <w:sz w:val="24"/>
                <w:szCs w:val="24"/>
              </w:rPr>
              <w:t>校长对海淀凯文学校的介绍</w:t>
            </w:r>
            <w:r w:rsidR="00372732">
              <w:rPr>
                <w:rFonts w:hint="eastAsia"/>
                <w:sz w:val="24"/>
                <w:szCs w:val="24"/>
              </w:rPr>
              <w:t>，了解</w:t>
            </w:r>
            <w:r w:rsidR="00372732" w:rsidRPr="00372732">
              <w:rPr>
                <w:rFonts w:hint="eastAsia"/>
                <w:sz w:val="24"/>
                <w:szCs w:val="24"/>
              </w:rPr>
              <w:t>中小学全学段双语课程体系、师资配置、教学特色</w:t>
            </w:r>
            <w:r w:rsidR="00372732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694FCF4F" w14:textId="304CF424" w:rsidR="00E764C8" w:rsidRDefault="00E764C8" w:rsidP="00E764C8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，在中学楼阶梯教室听取了中学分部校长宣讲</w:t>
            </w:r>
            <w:r w:rsidR="00372732">
              <w:rPr>
                <w:rFonts w:hint="eastAsia"/>
                <w:sz w:val="24"/>
                <w:szCs w:val="24"/>
              </w:rPr>
              <w:t>以及</w:t>
            </w:r>
            <w:r>
              <w:rPr>
                <w:rFonts w:hint="eastAsia"/>
                <w:sz w:val="24"/>
                <w:szCs w:val="24"/>
              </w:rPr>
              <w:t>凯文老师对</w:t>
            </w:r>
            <w:r w:rsidR="00372732">
              <w:rPr>
                <w:rFonts w:hint="eastAsia"/>
                <w:sz w:val="24"/>
                <w:szCs w:val="24"/>
              </w:rPr>
              <w:t>升学规划</w:t>
            </w:r>
            <w:r w:rsidR="00C80955">
              <w:rPr>
                <w:rFonts w:hint="eastAsia"/>
                <w:sz w:val="24"/>
                <w:szCs w:val="24"/>
              </w:rPr>
              <w:t>的介绍</w:t>
            </w:r>
            <w:r w:rsidR="00372732">
              <w:rPr>
                <w:rFonts w:hint="eastAsia"/>
                <w:sz w:val="24"/>
                <w:szCs w:val="24"/>
              </w:rPr>
              <w:t>；</w:t>
            </w:r>
          </w:p>
          <w:p w14:paraId="4DC8F05B" w14:textId="35C43F3A" w:rsidR="00372732" w:rsidRDefault="00372732" w:rsidP="00E764C8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，分别于中学楼、艺术中心教室外，参观</w:t>
            </w:r>
            <w:r w:rsidR="00C80955">
              <w:rPr>
                <w:rFonts w:hint="eastAsia"/>
                <w:sz w:val="24"/>
                <w:szCs w:val="24"/>
              </w:rPr>
              <w:t>了</w:t>
            </w:r>
            <w:r>
              <w:rPr>
                <w:rFonts w:hint="eastAsia"/>
                <w:sz w:val="24"/>
                <w:szCs w:val="24"/>
              </w:rPr>
              <w:t>学生参加体验课</w:t>
            </w:r>
            <w:r w:rsidR="00C80955">
              <w:rPr>
                <w:rFonts w:hint="eastAsia"/>
                <w:sz w:val="24"/>
                <w:szCs w:val="24"/>
              </w:rPr>
              <w:t>的实际效果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0C210012" w14:textId="6883B3C0" w:rsidR="00372732" w:rsidRPr="0099452D" w:rsidRDefault="00372732" w:rsidP="00C80955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，投资者分别参观了</w:t>
            </w:r>
            <w:r w:rsidR="00C80955" w:rsidRPr="00C80955">
              <w:rPr>
                <w:rFonts w:hint="eastAsia"/>
                <w:sz w:val="24"/>
                <w:szCs w:val="24"/>
              </w:rPr>
              <w:t>室外高尔夫球场</w:t>
            </w:r>
            <w:r>
              <w:rPr>
                <w:rFonts w:hint="eastAsia"/>
                <w:sz w:val="24"/>
                <w:szCs w:val="24"/>
              </w:rPr>
              <w:t>、棒球场、篮球场、游泳馆等</w:t>
            </w:r>
            <w:r w:rsidR="00C80955">
              <w:rPr>
                <w:rFonts w:hint="eastAsia"/>
                <w:sz w:val="24"/>
                <w:szCs w:val="24"/>
              </w:rPr>
              <w:t>场所，感受到海淀凯文学校良好的</w:t>
            </w:r>
            <w:r w:rsidR="00C80955" w:rsidRPr="00C80955">
              <w:rPr>
                <w:rFonts w:hint="eastAsia"/>
                <w:sz w:val="24"/>
                <w:szCs w:val="24"/>
              </w:rPr>
              <w:t>硬件设施</w:t>
            </w:r>
            <w:r w:rsidR="00C80955">
              <w:rPr>
                <w:rFonts w:hint="eastAsia"/>
                <w:sz w:val="24"/>
                <w:szCs w:val="24"/>
              </w:rPr>
              <w:t>与优美的</w:t>
            </w:r>
            <w:r w:rsidR="00C80955" w:rsidRPr="00C80955">
              <w:rPr>
                <w:rFonts w:hint="eastAsia"/>
                <w:sz w:val="24"/>
                <w:szCs w:val="24"/>
              </w:rPr>
              <w:t>校园环境</w:t>
            </w:r>
            <w:r w:rsidR="00C8095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12F6D" w14:paraId="255FAAEF" w14:textId="77777777" w:rsidTr="000661B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17AD" w14:textId="77777777" w:rsidR="00C12F6D" w:rsidRDefault="00C12F6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147" w14:textId="77777777" w:rsidR="00C12F6D" w:rsidRDefault="008C776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12F6D" w14:paraId="17116194" w14:textId="77777777" w:rsidTr="00476B6A">
        <w:trPr>
          <w:trHeight w:val="3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5A01" w14:textId="77777777" w:rsidR="00C12F6D" w:rsidRPr="006B69E5" w:rsidRDefault="00C12F6D"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 w:rsidRPr="006B69E5"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7A3" w14:textId="250FB929" w:rsidR="00C12F6D" w:rsidRPr="006B69E5" w:rsidRDefault="00474AA1" w:rsidP="00476B6A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6B69E5">
              <w:rPr>
                <w:bCs/>
                <w:iCs/>
                <w:sz w:val="24"/>
                <w:szCs w:val="24"/>
              </w:rPr>
              <w:t>201</w:t>
            </w:r>
            <w:r w:rsidR="0035138F">
              <w:rPr>
                <w:rFonts w:hint="eastAsia"/>
                <w:bCs/>
                <w:iCs/>
                <w:sz w:val="24"/>
                <w:szCs w:val="24"/>
              </w:rPr>
              <w:t>9</w:t>
            </w:r>
            <w:r w:rsidRPr="006B69E5">
              <w:rPr>
                <w:bCs/>
                <w:iCs/>
                <w:sz w:val="24"/>
                <w:szCs w:val="24"/>
              </w:rPr>
              <w:t>年</w:t>
            </w:r>
            <w:r w:rsidR="0035138F">
              <w:rPr>
                <w:bCs/>
                <w:iCs/>
                <w:sz w:val="24"/>
                <w:szCs w:val="24"/>
              </w:rPr>
              <w:t>5</w:t>
            </w:r>
            <w:r w:rsidRPr="006B69E5">
              <w:rPr>
                <w:bCs/>
                <w:iCs/>
                <w:sz w:val="24"/>
                <w:szCs w:val="24"/>
              </w:rPr>
              <w:t>月</w:t>
            </w:r>
            <w:r w:rsidR="0035138F">
              <w:rPr>
                <w:bCs/>
                <w:iCs/>
                <w:sz w:val="24"/>
                <w:szCs w:val="24"/>
              </w:rPr>
              <w:t>20</w:t>
            </w:r>
            <w:r w:rsidRPr="006B69E5"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14:paraId="10D92870" w14:textId="77777777" w:rsidR="00E755BA" w:rsidRDefault="00E755BA"/>
    <w:p w14:paraId="75F0FC1B" w14:textId="77777777" w:rsidR="00F07E2F" w:rsidRDefault="00F07E2F"/>
    <w:sectPr w:rsidR="00F0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4AF8B" w14:textId="77777777" w:rsidR="0026435B" w:rsidRDefault="0026435B" w:rsidP="00ED6697">
      <w:r>
        <w:separator/>
      </w:r>
    </w:p>
  </w:endnote>
  <w:endnote w:type="continuationSeparator" w:id="0">
    <w:p w14:paraId="5FEA7D6C" w14:textId="77777777" w:rsidR="0026435B" w:rsidRDefault="0026435B" w:rsidP="00E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8091" w14:textId="77777777" w:rsidR="0026435B" w:rsidRDefault="0026435B" w:rsidP="00ED6697">
      <w:r>
        <w:separator/>
      </w:r>
    </w:p>
  </w:footnote>
  <w:footnote w:type="continuationSeparator" w:id="0">
    <w:p w14:paraId="779E7F4E" w14:textId="77777777" w:rsidR="0026435B" w:rsidRDefault="0026435B" w:rsidP="00ED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213"/>
    <w:multiLevelType w:val="hybridMultilevel"/>
    <w:tmpl w:val="EB801B9E"/>
    <w:lvl w:ilvl="0" w:tplc="0F8A8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893617"/>
    <w:multiLevelType w:val="hybridMultilevel"/>
    <w:tmpl w:val="E06C3E40"/>
    <w:lvl w:ilvl="0" w:tplc="30B01FD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4410CC"/>
    <w:multiLevelType w:val="hybridMultilevel"/>
    <w:tmpl w:val="C0A407B2"/>
    <w:lvl w:ilvl="0" w:tplc="B148C51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5A3F7BC4"/>
    <w:multiLevelType w:val="hybridMultilevel"/>
    <w:tmpl w:val="858E2676"/>
    <w:lvl w:ilvl="0" w:tplc="7494CF6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6AB"/>
    <w:rsid w:val="0000091F"/>
    <w:rsid w:val="00001729"/>
    <w:rsid w:val="00003BA2"/>
    <w:rsid w:val="000053BB"/>
    <w:rsid w:val="00020266"/>
    <w:rsid w:val="00042AC4"/>
    <w:rsid w:val="00052571"/>
    <w:rsid w:val="000556EB"/>
    <w:rsid w:val="0005669A"/>
    <w:rsid w:val="0006398B"/>
    <w:rsid w:val="000660D2"/>
    <w:rsid w:val="000661B9"/>
    <w:rsid w:val="00066C1A"/>
    <w:rsid w:val="000B3155"/>
    <w:rsid w:val="00121E83"/>
    <w:rsid w:val="00152E6E"/>
    <w:rsid w:val="001606E2"/>
    <w:rsid w:val="00175040"/>
    <w:rsid w:val="00175573"/>
    <w:rsid w:val="00176791"/>
    <w:rsid w:val="00187AE8"/>
    <w:rsid w:val="001A4EC8"/>
    <w:rsid w:val="001C390C"/>
    <w:rsid w:val="001D2245"/>
    <w:rsid w:val="001D2AFC"/>
    <w:rsid w:val="00246BE2"/>
    <w:rsid w:val="0026435B"/>
    <w:rsid w:val="00265F54"/>
    <w:rsid w:val="00276C75"/>
    <w:rsid w:val="002B11DB"/>
    <w:rsid w:val="002E3D7E"/>
    <w:rsid w:val="002E7793"/>
    <w:rsid w:val="0034020C"/>
    <w:rsid w:val="0034275B"/>
    <w:rsid w:val="0035138F"/>
    <w:rsid w:val="00372732"/>
    <w:rsid w:val="00382A7B"/>
    <w:rsid w:val="003C10C8"/>
    <w:rsid w:val="003E13BC"/>
    <w:rsid w:val="003E30A9"/>
    <w:rsid w:val="003E39A2"/>
    <w:rsid w:val="004105E5"/>
    <w:rsid w:val="004378C2"/>
    <w:rsid w:val="00450C79"/>
    <w:rsid w:val="0046308E"/>
    <w:rsid w:val="004711A6"/>
    <w:rsid w:val="004747A0"/>
    <w:rsid w:val="00474AA1"/>
    <w:rsid w:val="00476B6A"/>
    <w:rsid w:val="00480858"/>
    <w:rsid w:val="00484181"/>
    <w:rsid w:val="00484D86"/>
    <w:rsid w:val="00497DCA"/>
    <w:rsid w:val="004B0667"/>
    <w:rsid w:val="004C7A86"/>
    <w:rsid w:val="004D05B2"/>
    <w:rsid w:val="004D2807"/>
    <w:rsid w:val="004D4ACF"/>
    <w:rsid w:val="004F6370"/>
    <w:rsid w:val="004F6485"/>
    <w:rsid w:val="00530053"/>
    <w:rsid w:val="00540364"/>
    <w:rsid w:val="00543BB2"/>
    <w:rsid w:val="005454F3"/>
    <w:rsid w:val="00564680"/>
    <w:rsid w:val="00580FE8"/>
    <w:rsid w:val="00594B03"/>
    <w:rsid w:val="005E5C5F"/>
    <w:rsid w:val="005F5492"/>
    <w:rsid w:val="005F6C99"/>
    <w:rsid w:val="0061666C"/>
    <w:rsid w:val="0063339B"/>
    <w:rsid w:val="006A39BB"/>
    <w:rsid w:val="006B69E5"/>
    <w:rsid w:val="006C0D34"/>
    <w:rsid w:val="00702EA4"/>
    <w:rsid w:val="00715672"/>
    <w:rsid w:val="0075179A"/>
    <w:rsid w:val="007671A1"/>
    <w:rsid w:val="007A0A7B"/>
    <w:rsid w:val="007D4629"/>
    <w:rsid w:val="007D577A"/>
    <w:rsid w:val="007D59BF"/>
    <w:rsid w:val="007F12EC"/>
    <w:rsid w:val="008534DC"/>
    <w:rsid w:val="008545DF"/>
    <w:rsid w:val="00870791"/>
    <w:rsid w:val="00871361"/>
    <w:rsid w:val="00880FBE"/>
    <w:rsid w:val="008814C1"/>
    <w:rsid w:val="008863FE"/>
    <w:rsid w:val="008907C9"/>
    <w:rsid w:val="00893382"/>
    <w:rsid w:val="008C7383"/>
    <w:rsid w:val="008C7764"/>
    <w:rsid w:val="00901588"/>
    <w:rsid w:val="00901CF5"/>
    <w:rsid w:val="009068C0"/>
    <w:rsid w:val="00914FAD"/>
    <w:rsid w:val="00916D41"/>
    <w:rsid w:val="00943336"/>
    <w:rsid w:val="00975D16"/>
    <w:rsid w:val="00984328"/>
    <w:rsid w:val="0099452D"/>
    <w:rsid w:val="009A4338"/>
    <w:rsid w:val="009B1711"/>
    <w:rsid w:val="009B3965"/>
    <w:rsid w:val="009B52FC"/>
    <w:rsid w:val="009F1619"/>
    <w:rsid w:val="00A07BBB"/>
    <w:rsid w:val="00A102A2"/>
    <w:rsid w:val="00A14423"/>
    <w:rsid w:val="00A1703E"/>
    <w:rsid w:val="00A547C5"/>
    <w:rsid w:val="00A568D7"/>
    <w:rsid w:val="00A601F6"/>
    <w:rsid w:val="00A95D3E"/>
    <w:rsid w:val="00AE5630"/>
    <w:rsid w:val="00B047F9"/>
    <w:rsid w:val="00B4545F"/>
    <w:rsid w:val="00B57207"/>
    <w:rsid w:val="00B60346"/>
    <w:rsid w:val="00B6722D"/>
    <w:rsid w:val="00B7239A"/>
    <w:rsid w:val="00B876CE"/>
    <w:rsid w:val="00B90577"/>
    <w:rsid w:val="00B906B2"/>
    <w:rsid w:val="00B951A8"/>
    <w:rsid w:val="00B96A9F"/>
    <w:rsid w:val="00BA3334"/>
    <w:rsid w:val="00BF36AB"/>
    <w:rsid w:val="00C06221"/>
    <w:rsid w:val="00C07C6A"/>
    <w:rsid w:val="00C12F6D"/>
    <w:rsid w:val="00C30C55"/>
    <w:rsid w:val="00C35DCF"/>
    <w:rsid w:val="00C456C0"/>
    <w:rsid w:val="00C5529C"/>
    <w:rsid w:val="00C72BA3"/>
    <w:rsid w:val="00C80955"/>
    <w:rsid w:val="00C82E9E"/>
    <w:rsid w:val="00C860F2"/>
    <w:rsid w:val="00CC14F1"/>
    <w:rsid w:val="00CD4BA5"/>
    <w:rsid w:val="00CD5A01"/>
    <w:rsid w:val="00CE38C3"/>
    <w:rsid w:val="00CF024A"/>
    <w:rsid w:val="00D11679"/>
    <w:rsid w:val="00D341CB"/>
    <w:rsid w:val="00D771F8"/>
    <w:rsid w:val="00D86331"/>
    <w:rsid w:val="00DA2E8F"/>
    <w:rsid w:val="00DA6A40"/>
    <w:rsid w:val="00DB794F"/>
    <w:rsid w:val="00DE16AF"/>
    <w:rsid w:val="00DE6F1D"/>
    <w:rsid w:val="00DF354D"/>
    <w:rsid w:val="00DF7035"/>
    <w:rsid w:val="00E07983"/>
    <w:rsid w:val="00E11AD6"/>
    <w:rsid w:val="00E348C1"/>
    <w:rsid w:val="00E40BC2"/>
    <w:rsid w:val="00E42065"/>
    <w:rsid w:val="00E444CE"/>
    <w:rsid w:val="00E4626E"/>
    <w:rsid w:val="00E518EA"/>
    <w:rsid w:val="00E6687F"/>
    <w:rsid w:val="00E755BA"/>
    <w:rsid w:val="00E764C8"/>
    <w:rsid w:val="00E817E5"/>
    <w:rsid w:val="00E85E0F"/>
    <w:rsid w:val="00E9589A"/>
    <w:rsid w:val="00EC5A24"/>
    <w:rsid w:val="00ED6697"/>
    <w:rsid w:val="00EE3BA9"/>
    <w:rsid w:val="00F05DC5"/>
    <w:rsid w:val="00F07E2F"/>
    <w:rsid w:val="00F334CB"/>
    <w:rsid w:val="00F51AE6"/>
    <w:rsid w:val="00F66B29"/>
    <w:rsid w:val="00FA1FF3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F7273"/>
  <w15:docId w15:val="{F66A6913-9168-4D97-8678-ED66537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F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B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6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6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DFE9-6AAB-4656-925B-1678A91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BDC-SH-62</dc:creator>
  <cp:lastModifiedBy>Wei Yang</cp:lastModifiedBy>
  <cp:revision>7</cp:revision>
  <cp:lastPrinted>2017-12-18T10:09:00Z</cp:lastPrinted>
  <dcterms:created xsi:type="dcterms:W3CDTF">2019-05-20T05:33:00Z</dcterms:created>
  <dcterms:modified xsi:type="dcterms:W3CDTF">2019-05-20T09:24:00Z</dcterms:modified>
</cp:coreProperties>
</file>