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A" w:rsidRDefault="0063295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证券代码：002488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金固股份</w:t>
      </w:r>
      <w:proofErr w:type="gramEnd"/>
    </w:p>
    <w:p w:rsidR="001B04FA" w:rsidRDefault="001B04FA">
      <w:pPr>
        <w:spacing w:beforeLines="50" w:before="156" w:afterLines="50" w:after="156" w:line="36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B04FA" w:rsidRDefault="0063295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2019年5月20日投资者关系活动记录表</w:t>
      </w:r>
    </w:p>
    <w:p w:rsidR="001B04FA" w:rsidRDefault="0063295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编号：20190520</w:t>
      </w:r>
    </w:p>
    <w:tbl>
      <w:tblPr>
        <w:tblW w:w="864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690"/>
      </w:tblGrid>
      <w:tr w:rsidR="001B04FA">
        <w:tc>
          <w:tcPr>
            <w:tcW w:w="1950" w:type="dxa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1B04FA" w:rsidRDefault="001B04F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 特定对象调研          □分析师会议</w:t>
            </w:r>
          </w:p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□媒体采访              □业绩说明会</w:t>
            </w:r>
          </w:p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□新闻发布会            □路演活动</w:t>
            </w:r>
          </w:p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□现场参观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1B04FA" w:rsidRDefault="0063295A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 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说明其他活动内容）</w:t>
            </w:r>
          </w:p>
        </w:tc>
      </w:tr>
      <w:tr w:rsidR="001B04FA">
        <w:trPr>
          <w:trHeight w:val="920"/>
        </w:trPr>
        <w:tc>
          <w:tcPr>
            <w:tcW w:w="1950" w:type="dxa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光大保德信基金</w:t>
            </w:r>
          </w:p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研究员：崔书田、魏晓雪</w:t>
            </w:r>
          </w:p>
        </w:tc>
      </w:tr>
      <w:tr w:rsidR="001B04FA">
        <w:tc>
          <w:tcPr>
            <w:tcW w:w="1950" w:type="dxa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2019年5月20日（14:00-16:00）</w:t>
            </w:r>
          </w:p>
        </w:tc>
      </w:tr>
      <w:tr w:rsidR="001B04FA">
        <w:tc>
          <w:tcPr>
            <w:tcW w:w="1950" w:type="dxa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汽车超人</w:t>
            </w:r>
          </w:p>
        </w:tc>
      </w:tr>
      <w:tr w:rsidR="001B04FA">
        <w:tc>
          <w:tcPr>
            <w:tcW w:w="1950" w:type="dxa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90" w:type="dxa"/>
          </w:tcPr>
          <w:p w:rsidR="001B04FA" w:rsidRDefault="0030723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副总经理</w:t>
            </w:r>
            <w:r w:rsidR="0063295A">
              <w:rPr>
                <w:rFonts w:ascii="宋体" w:hAnsi="宋体" w:hint="eastAsia"/>
                <w:sz w:val="24"/>
                <w:szCs w:val="24"/>
              </w:rPr>
              <w:t>：</w:t>
            </w:r>
            <w:proofErr w:type="gramStart"/>
            <w:r w:rsidR="0063295A">
              <w:rPr>
                <w:rFonts w:ascii="宋体" w:hAnsi="宋体" w:hint="eastAsia"/>
                <w:sz w:val="24"/>
                <w:szCs w:val="24"/>
              </w:rPr>
              <w:t>孙群慧</w:t>
            </w:r>
            <w:proofErr w:type="gramEnd"/>
          </w:p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证券部工作人员 </w:t>
            </w:r>
          </w:p>
        </w:tc>
      </w:tr>
      <w:tr w:rsidR="001B04FA">
        <w:trPr>
          <w:trHeight w:val="925"/>
        </w:trPr>
        <w:tc>
          <w:tcPr>
            <w:tcW w:w="1950" w:type="dxa"/>
            <w:vAlign w:val="center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1B04FA" w:rsidRDefault="001B04F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vAlign w:val="center"/>
          </w:tcPr>
          <w:p w:rsidR="001B04FA" w:rsidRDefault="0063295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一、金固股份基本情况</w:t>
            </w:r>
          </w:p>
          <w:p w:rsidR="001B04FA" w:rsidRDefault="0063295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公司主营业务为高端制造业务和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t>汽车后市场新零售</w:t>
            </w:r>
            <w:r>
              <w:rPr>
                <w:rFonts w:ascii="宋体" w:hAnsi="宋体" w:hint="eastAsia"/>
                <w:sz w:val="24"/>
                <w:szCs w:val="24"/>
              </w:rPr>
              <w:t>业务，公司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t>以</w:t>
            </w:r>
            <w:r>
              <w:rPr>
                <w:rFonts w:hint="eastAsia"/>
                <w:sz w:val="24"/>
                <w:szCs w:val="24"/>
              </w:rPr>
              <w:t>高端制造板块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t>为主线，以</w:t>
            </w:r>
            <w:r>
              <w:rPr>
                <w:rFonts w:hint="eastAsia"/>
                <w:sz w:val="24"/>
                <w:szCs w:val="24"/>
              </w:rPr>
              <w:t>汽车后市场新零售板块</w:t>
            </w:r>
            <w:r w:rsidR="000419A9">
              <w:rPr>
                <w:rFonts w:hint="eastAsia"/>
                <w:kern w:val="0"/>
                <w:sz w:val="24"/>
                <w:szCs w:val="24"/>
                <w:lang w:val="zh-CN"/>
              </w:rPr>
              <w:t>为重心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t>。汽车后市场新零售板块在和阿里合作后</w:t>
            </w:r>
            <w:r>
              <w:rPr>
                <w:rFonts w:ascii="宋体" w:hAnsi="宋体" w:hint="eastAsia"/>
                <w:sz w:val="24"/>
                <w:szCs w:val="24"/>
              </w:rPr>
              <w:t>，发展空间极大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1B04FA" w:rsidRDefault="0063295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汽车后市场新零售板块</w:t>
            </w:r>
            <w:r>
              <w:rPr>
                <w:rFonts w:ascii="宋体" w:hAnsi="宋体" w:hint="eastAsia"/>
                <w:sz w:val="24"/>
                <w:szCs w:val="24"/>
              </w:rPr>
              <w:t>经营情况：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阿里巴巴战略入股，公司</w:t>
            </w:r>
            <w:r w:rsidR="00E8397D">
              <w:rPr>
                <w:rFonts w:ascii="宋体" w:hAnsi="宋体" w:hint="eastAsia"/>
                <w:sz w:val="24"/>
                <w:szCs w:val="24"/>
                <w:lang w:val="zh-CN"/>
              </w:rPr>
              <w:t>把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该业务分拆为平台供应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链业务及汽服门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店新零售业务两大板块。</w:t>
            </w:r>
          </w:p>
          <w:p w:rsidR="0072259F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E8397D">
              <w:rPr>
                <w:rFonts w:ascii="宋体" w:hAnsi="宋体" w:hint="eastAsia"/>
                <w:sz w:val="24"/>
                <w:szCs w:val="24"/>
                <w:lang w:val="zh-CN"/>
              </w:rPr>
              <w:t>）公司平台供应</w:t>
            </w:r>
            <w:proofErr w:type="gramStart"/>
            <w:r w:rsidR="00E8397D">
              <w:rPr>
                <w:rFonts w:ascii="宋体" w:hAnsi="宋体" w:hint="eastAsia"/>
                <w:sz w:val="24"/>
                <w:szCs w:val="24"/>
                <w:lang w:val="zh-CN"/>
              </w:rPr>
              <w:t>链业务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和阿里的汽车后市场相关业务,以及汽配B2B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公司康众的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业务,一起组成新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的天猫车站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平台,同时阿里注资现金16亿元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到天猫车站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致力于平台运营，供应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链仓配建设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等车后市场基础设施建设。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E8397D">
              <w:rPr>
                <w:rFonts w:ascii="宋体" w:hAnsi="宋体" w:hint="eastAsia"/>
                <w:sz w:val="24"/>
                <w:szCs w:val="24"/>
                <w:lang w:val="zh-CN"/>
              </w:rPr>
              <w:t>）汽修门店新零售业务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继续由公司控股，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参股。重点通过SaaS，线上精准营销，流量导入，品牌建设，数据服务，新零售业务导入等手段来赋能改造线下汽修门店，致力于打造全国领先的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优质汽服连锁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品牌。</w:t>
            </w:r>
          </w:p>
          <w:p w:rsidR="001B04FA" w:rsidRDefault="0063295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高端制造板块</w:t>
            </w:r>
            <w:r>
              <w:rPr>
                <w:rFonts w:ascii="宋体" w:hAnsi="宋体" w:hint="eastAsia"/>
                <w:sz w:val="24"/>
                <w:szCs w:val="24"/>
              </w:rPr>
              <w:t>经营情况：</w:t>
            </w:r>
          </w:p>
          <w:p w:rsidR="001B04FA" w:rsidRDefault="0063295A">
            <w:pPr>
              <w:pStyle w:val="Default"/>
              <w:spacing w:line="360" w:lineRule="auto"/>
              <w:ind w:firstLineChars="200" w:firstLine="480"/>
              <w:rPr>
                <w:rFonts w:hAnsi="宋体"/>
              </w:rPr>
            </w:pPr>
            <w:r>
              <w:rPr>
                <w:rFonts w:hint="eastAsia"/>
              </w:rPr>
              <w:t>公司钢制车轮业务相当成熟，公司将继续优化产品结构，提高中高端产品质量，保持并扩大在中高端市场的占有率。</w:t>
            </w:r>
          </w:p>
          <w:p w:rsidR="001B04FA" w:rsidRDefault="000419A9"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63295A">
              <w:rPr>
                <w:sz w:val="24"/>
                <w:szCs w:val="24"/>
              </w:rPr>
              <w:t>EPS</w:t>
            </w:r>
            <w:r>
              <w:rPr>
                <w:rFonts w:hint="eastAsia"/>
                <w:sz w:val="24"/>
                <w:szCs w:val="24"/>
              </w:rPr>
              <w:t>设备</w:t>
            </w:r>
            <w:r w:rsidR="0063295A">
              <w:rPr>
                <w:rFonts w:hint="eastAsia"/>
                <w:sz w:val="24"/>
                <w:szCs w:val="24"/>
              </w:rPr>
              <w:t>更加环保更加清洁，还有投入产出比高、成本低、空间少等优势，积极响应国家绿色环保政策的号召。</w:t>
            </w:r>
            <w:r w:rsidR="0063295A">
              <w:rPr>
                <w:rFonts w:ascii="宋体" w:hAnsi="宋体" w:hint="eastAsia"/>
                <w:sz w:val="24"/>
                <w:szCs w:val="24"/>
              </w:rPr>
              <w:t>EPS环保设备是新的利润增长点，增速较快。</w:t>
            </w:r>
          </w:p>
          <w:p w:rsidR="001B04FA" w:rsidRDefault="001B04F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</w:p>
          <w:p w:rsidR="001B04FA" w:rsidRDefault="0063295A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二、问答环节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Q：公司汽车超人是否有新的品牌宣传计划？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A：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作为宣传，“汽车超人”已经签约前NBA篮球</w:t>
            </w:r>
            <w:proofErr w:type="gramStart"/>
            <w:r>
              <w:rPr>
                <w:rFonts w:ascii="宋体" w:hAnsi="宋体"/>
                <w:kern w:val="0"/>
                <w:sz w:val="24"/>
                <w:lang w:val="zh-CN"/>
              </w:rPr>
              <w:t>名宿科</w:t>
            </w:r>
            <w:proofErr w:type="gramEnd"/>
            <w:r>
              <w:rPr>
                <w:rFonts w:ascii="宋体" w:hAnsi="宋体"/>
                <w:kern w:val="0"/>
                <w:sz w:val="24"/>
                <w:lang w:val="zh-CN"/>
              </w:rPr>
              <w:t>比作为品牌代言人，预计2019年将加大力度、规模进行推广</w:t>
            </w:r>
            <w:r>
              <w:rPr>
                <w:rFonts w:ascii="宋体" w:hAnsi="宋体" w:hint="eastAsia"/>
                <w:sz w:val="24"/>
                <w:szCs w:val="24"/>
              </w:rPr>
              <w:t>，目前已经在机场等地大规模推广。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</w:t>
            </w:r>
            <w:r w:rsidR="00E8397D">
              <w:rPr>
                <w:rFonts w:ascii="宋体" w:hAnsi="宋体" w:hint="eastAsia"/>
                <w:sz w:val="24"/>
                <w:szCs w:val="24"/>
              </w:rPr>
              <w:t>：汽车超人重组后平</w:t>
            </w:r>
            <w:bookmarkStart w:id="0" w:name="_GoBack"/>
            <w:bookmarkEnd w:id="0"/>
            <w:r w:rsidR="00E8397D">
              <w:rPr>
                <w:rFonts w:ascii="宋体" w:hAnsi="宋体" w:hint="eastAsia"/>
                <w:sz w:val="24"/>
                <w:szCs w:val="24"/>
              </w:rPr>
              <w:t>台供应</w:t>
            </w:r>
            <w:proofErr w:type="gramStart"/>
            <w:r w:rsidR="00E8397D">
              <w:rPr>
                <w:rFonts w:ascii="宋体" w:hAnsi="宋体" w:hint="eastAsia"/>
                <w:sz w:val="24"/>
                <w:szCs w:val="24"/>
              </w:rPr>
              <w:t>链业务</w:t>
            </w:r>
            <w:r>
              <w:rPr>
                <w:rFonts w:ascii="宋体" w:hAnsi="宋体" w:hint="eastAsia"/>
                <w:sz w:val="24"/>
                <w:szCs w:val="24"/>
              </w:rPr>
              <w:t>由天猫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车站承接，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同时整体并购汽配B2b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公司康众的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优势与发展？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天猫车站</w:t>
            </w:r>
            <w:proofErr w:type="gramEnd"/>
            <w:r>
              <w:rPr>
                <w:sz w:val="24"/>
                <w:szCs w:val="24"/>
              </w:rPr>
              <w:t>拥有天猫、</w:t>
            </w:r>
            <w:proofErr w:type="gramStart"/>
            <w:r>
              <w:rPr>
                <w:sz w:val="24"/>
                <w:szCs w:val="24"/>
              </w:rPr>
              <w:t>淘宝后</w:t>
            </w:r>
            <w:proofErr w:type="gramEnd"/>
            <w:r>
              <w:rPr>
                <w:sz w:val="24"/>
                <w:szCs w:val="24"/>
              </w:rPr>
              <w:t>市场业务的独家运营权，共享</w:t>
            </w:r>
            <w:proofErr w:type="gramStart"/>
            <w:r>
              <w:rPr>
                <w:sz w:val="24"/>
                <w:szCs w:val="24"/>
              </w:rPr>
              <w:t>天猫汽车</w:t>
            </w:r>
            <w:proofErr w:type="gramEnd"/>
            <w:r>
              <w:rPr>
                <w:sz w:val="24"/>
                <w:szCs w:val="24"/>
              </w:rPr>
              <w:t>后市场零售平台海量车主数据。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天猫车站</w:t>
            </w:r>
            <w:proofErr w:type="gramEnd"/>
            <w:r>
              <w:rPr>
                <w:sz w:val="24"/>
                <w:szCs w:val="24"/>
              </w:rPr>
              <w:t>通过提供线上流量和供应</w:t>
            </w:r>
            <w:proofErr w:type="gramStart"/>
            <w:r>
              <w:rPr>
                <w:sz w:val="24"/>
                <w:szCs w:val="24"/>
              </w:rPr>
              <w:t>链仓配能力</w:t>
            </w:r>
            <w:proofErr w:type="gramEnd"/>
            <w:r>
              <w:rPr>
                <w:sz w:val="24"/>
                <w:szCs w:val="24"/>
              </w:rPr>
              <w:t>成为行业基础设施建设者，打造业内最具权威的汽车后市场服务认证平台。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预计2019年新增多少？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A：</w:t>
            </w:r>
            <w:proofErr w:type="gramStart"/>
            <w:r w:rsidR="000B56A2">
              <w:rPr>
                <w:rFonts w:ascii="宋体" w:hAnsi="宋体" w:hint="eastAsia"/>
                <w:sz w:val="24"/>
                <w:szCs w:val="24"/>
              </w:rPr>
              <w:t>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业务发展迅速，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 w:rsidR="004C1169">
              <w:rPr>
                <w:rFonts w:ascii="宋体" w:hAnsi="宋体" w:hint="eastAsia"/>
                <w:sz w:val="24"/>
                <w:szCs w:val="24"/>
              </w:rPr>
              <w:t>天猫车站</w:t>
            </w:r>
            <w:proofErr w:type="gramEnd"/>
            <w:r w:rsidR="004C1169">
              <w:rPr>
                <w:rFonts w:ascii="宋体" w:hAnsi="宋体" w:hint="eastAsia"/>
                <w:sz w:val="24"/>
                <w:szCs w:val="24"/>
              </w:rPr>
              <w:t>认证门店和汽车超人</w:t>
            </w:r>
            <w:proofErr w:type="gramStart"/>
            <w:r w:rsidR="004C1169">
              <w:rPr>
                <w:rFonts w:ascii="宋体" w:hAnsi="宋体" w:hint="eastAsia"/>
                <w:sz w:val="24"/>
                <w:szCs w:val="24"/>
              </w:rPr>
              <w:t>品牌门</w:t>
            </w:r>
            <w:proofErr w:type="gramEnd"/>
            <w:r w:rsidR="004C1169">
              <w:rPr>
                <w:rFonts w:ascii="宋体" w:hAnsi="宋体" w:hint="eastAsia"/>
                <w:sz w:val="24"/>
                <w:szCs w:val="24"/>
              </w:rPr>
              <w:t>店在全国各城市的布局在逐步形成</w:t>
            </w:r>
            <w:r>
              <w:rPr>
                <w:rFonts w:ascii="宋体" w:hAnsi="宋体" w:hint="eastAsia"/>
                <w:sz w:val="24"/>
                <w:szCs w:val="24"/>
              </w:rPr>
              <w:t>。按现阶段规划，预计全年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发展天猫车站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认证门店3000家左右。</w:t>
            </w:r>
          </w:p>
          <w:p w:rsidR="001B04FA" w:rsidRDefault="006329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Q：智车慧达的优势是什么？</w:t>
            </w:r>
          </w:p>
          <w:p w:rsidR="001B04FA" w:rsidRPr="0072259F" w:rsidRDefault="0063295A" w:rsidP="0072259F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A：</w:t>
            </w:r>
            <w:r w:rsidR="000B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）相比于传统</w:t>
            </w:r>
            <w:r>
              <w:rPr>
                <w:sz w:val="24"/>
                <w:szCs w:val="24"/>
              </w:rPr>
              <w:t>4S</w:t>
            </w:r>
            <w:r>
              <w:rPr>
                <w:sz w:val="24"/>
                <w:szCs w:val="24"/>
              </w:rPr>
              <w:t>店模式，公司在价格、服务类别及服务品牌数量上具有较高优势；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）相比于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路边摊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小店，公司在服务质量及产品质量上给消费者更大信心；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）相比于其他售后新势力，公司在线上数据与阿里巴巴实现部分共享，导流规模、营销精准度方面优势明显。</w:t>
            </w:r>
          </w:p>
        </w:tc>
      </w:tr>
      <w:tr w:rsidR="001B04FA">
        <w:tc>
          <w:tcPr>
            <w:tcW w:w="1950" w:type="dxa"/>
            <w:vAlign w:val="center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1B04FA">
        <w:tc>
          <w:tcPr>
            <w:tcW w:w="1950" w:type="dxa"/>
            <w:vAlign w:val="center"/>
          </w:tcPr>
          <w:p w:rsidR="001B04FA" w:rsidRDefault="0063295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90" w:type="dxa"/>
          </w:tcPr>
          <w:p w:rsidR="001B04FA" w:rsidRDefault="00632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2019年5月20日</w:t>
            </w:r>
          </w:p>
        </w:tc>
      </w:tr>
    </w:tbl>
    <w:p w:rsidR="001B04FA" w:rsidRDefault="001B04FA"/>
    <w:p w:rsidR="001B04FA" w:rsidRDefault="001B04FA"/>
    <w:sectPr w:rsidR="001B04FA">
      <w:footerReference w:type="even" r:id="rId8"/>
      <w:footerReference w:type="default" r:id="rId9"/>
      <w:pgSz w:w="11906" w:h="16838"/>
      <w:pgMar w:top="879" w:right="1689" w:bottom="918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6B" w:rsidRDefault="002D5A6B">
      <w:r>
        <w:separator/>
      </w:r>
    </w:p>
  </w:endnote>
  <w:endnote w:type="continuationSeparator" w:id="0">
    <w:p w:rsidR="002D5A6B" w:rsidRDefault="002D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FA" w:rsidRDefault="0063295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B04FA" w:rsidRDefault="001B04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FA" w:rsidRDefault="0063295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8397D">
      <w:rPr>
        <w:rStyle w:val="a5"/>
        <w:noProof/>
      </w:rPr>
      <w:t>2</w:t>
    </w:r>
    <w:r>
      <w:fldChar w:fldCharType="end"/>
    </w:r>
  </w:p>
  <w:p w:rsidR="001B04FA" w:rsidRDefault="001B0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6B" w:rsidRDefault="002D5A6B">
      <w:r>
        <w:separator/>
      </w:r>
    </w:p>
  </w:footnote>
  <w:footnote w:type="continuationSeparator" w:id="0">
    <w:p w:rsidR="002D5A6B" w:rsidRDefault="002D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B"/>
    <w:rsid w:val="000419A9"/>
    <w:rsid w:val="000B56A2"/>
    <w:rsid w:val="000C3BCB"/>
    <w:rsid w:val="000E02C4"/>
    <w:rsid w:val="001A135E"/>
    <w:rsid w:val="001B04FA"/>
    <w:rsid w:val="00200637"/>
    <w:rsid w:val="002D5A6B"/>
    <w:rsid w:val="0030723C"/>
    <w:rsid w:val="00321CD0"/>
    <w:rsid w:val="004C1169"/>
    <w:rsid w:val="005E0DFE"/>
    <w:rsid w:val="0063295A"/>
    <w:rsid w:val="006573CE"/>
    <w:rsid w:val="00710765"/>
    <w:rsid w:val="0072259F"/>
    <w:rsid w:val="008F08EE"/>
    <w:rsid w:val="00A44E8B"/>
    <w:rsid w:val="00A47567"/>
    <w:rsid w:val="00A56C8C"/>
    <w:rsid w:val="00B60024"/>
    <w:rsid w:val="00C75A30"/>
    <w:rsid w:val="00D01189"/>
    <w:rsid w:val="00D938D4"/>
    <w:rsid w:val="00DF4D42"/>
    <w:rsid w:val="00E45563"/>
    <w:rsid w:val="00E8397D"/>
    <w:rsid w:val="00ED74E9"/>
    <w:rsid w:val="02407B37"/>
    <w:rsid w:val="16BA0D0B"/>
    <w:rsid w:val="19622CAF"/>
    <w:rsid w:val="1A3605C9"/>
    <w:rsid w:val="1BE7249C"/>
    <w:rsid w:val="26AF77B9"/>
    <w:rsid w:val="274A3F3F"/>
    <w:rsid w:val="297C7AFE"/>
    <w:rsid w:val="29FA68AB"/>
    <w:rsid w:val="461C517D"/>
    <w:rsid w:val="4DF16716"/>
    <w:rsid w:val="4E0E57D2"/>
    <w:rsid w:val="64642335"/>
    <w:rsid w:val="64771B22"/>
    <w:rsid w:val="703B68E4"/>
    <w:rsid w:val="78127FF2"/>
    <w:rsid w:val="78C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CJ</cp:lastModifiedBy>
  <cp:revision>17</cp:revision>
  <dcterms:created xsi:type="dcterms:W3CDTF">2014-10-29T12:08:00Z</dcterms:created>
  <dcterms:modified xsi:type="dcterms:W3CDTF">2019-05-21T07:13:00Z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