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E0" w:rsidRPr="006530BC" w:rsidRDefault="00D52BE0" w:rsidP="004C4CB7">
      <w:pPr>
        <w:spacing w:beforeLines="50" w:before="156" w:afterLines="50" w:after="156" w:line="360" w:lineRule="auto"/>
        <w:ind w:firstLineChars="150" w:firstLine="360"/>
        <w:rPr>
          <w:rFonts w:ascii="宋体" w:hAnsi="宋体"/>
          <w:bCs/>
          <w:iCs/>
          <w:sz w:val="24"/>
          <w:szCs w:val="24"/>
        </w:rPr>
      </w:pPr>
      <w:r w:rsidRPr="006530BC">
        <w:rPr>
          <w:rFonts w:ascii="宋体" w:hAnsi="宋体" w:hint="eastAsia"/>
          <w:bCs/>
          <w:iCs/>
          <w:sz w:val="24"/>
          <w:szCs w:val="24"/>
        </w:rPr>
        <w:t>证券代码：</w:t>
      </w:r>
      <w:r w:rsidR="00CE577A" w:rsidRPr="006530BC">
        <w:rPr>
          <w:rFonts w:ascii="宋体" w:hAnsi="宋体" w:hint="eastAsia"/>
          <w:bCs/>
          <w:iCs/>
          <w:sz w:val="24"/>
          <w:szCs w:val="24"/>
        </w:rPr>
        <w:t xml:space="preserve">002010                         </w:t>
      </w:r>
      <w:r w:rsidRPr="006530BC">
        <w:rPr>
          <w:rFonts w:ascii="宋体" w:hAnsi="宋体" w:hint="eastAsia"/>
          <w:bCs/>
          <w:iCs/>
          <w:sz w:val="24"/>
          <w:szCs w:val="24"/>
        </w:rPr>
        <w:t xml:space="preserve">  证券简称：</w:t>
      </w:r>
      <w:r w:rsidR="00CE577A" w:rsidRPr="006530BC">
        <w:rPr>
          <w:rFonts w:ascii="宋体" w:hAnsi="宋体" w:hint="eastAsia"/>
          <w:bCs/>
          <w:iCs/>
          <w:sz w:val="24"/>
          <w:szCs w:val="24"/>
        </w:rPr>
        <w:t>传</w:t>
      </w:r>
      <w:proofErr w:type="gramStart"/>
      <w:r w:rsidR="00CE577A" w:rsidRPr="006530BC">
        <w:rPr>
          <w:rFonts w:ascii="宋体" w:hAnsi="宋体" w:hint="eastAsia"/>
          <w:bCs/>
          <w:iCs/>
          <w:sz w:val="24"/>
          <w:szCs w:val="24"/>
        </w:rPr>
        <w:t>化</w:t>
      </w:r>
      <w:r w:rsidR="009E0506" w:rsidRPr="006530BC">
        <w:rPr>
          <w:rFonts w:ascii="宋体" w:hAnsi="宋体" w:hint="eastAsia"/>
          <w:bCs/>
          <w:iCs/>
          <w:sz w:val="24"/>
          <w:szCs w:val="24"/>
        </w:rPr>
        <w:t>智联</w:t>
      </w:r>
      <w:proofErr w:type="gramEnd"/>
    </w:p>
    <w:p w:rsidR="00D52BE0" w:rsidRPr="006530BC" w:rsidRDefault="00D52BE0" w:rsidP="004C4CB7">
      <w:pPr>
        <w:spacing w:beforeLines="50" w:before="156" w:afterLines="50" w:after="156" w:line="360" w:lineRule="auto"/>
        <w:ind w:firstLineChars="300" w:firstLine="720"/>
        <w:rPr>
          <w:rFonts w:ascii="宋体" w:hAnsi="宋体"/>
          <w:bCs/>
          <w:iCs/>
          <w:sz w:val="24"/>
          <w:szCs w:val="24"/>
        </w:rPr>
      </w:pPr>
    </w:p>
    <w:p w:rsidR="00D52BE0" w:rsidRPr="006530BC" w:rsidRDefault="009E0506" w:rsidP="004C4CB7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sz w:val="24"/>
          <w:szCs w:val="24"/>
        </w:rPr>
      </w:pPr>
      <w:r w:rsidRPr="006530BC">
        <w:rPr>
          <w:rFonts w:ascii="宋体" w:hAnsi="宋体" w:hint="eastAsia"/>
          <w:b/>
          <w:bCs/>
          <w:iCs/>
          <w:sz w:val="24"/>
          <w:szCs w:val="24"/>
        </w:rPr>
        <w:t>传</w:t>
      </w:r>
      <w:proofErr w:type="gramStart"/>
      <w:r w:rsidRPr="006530BC">
        <w:rPr>
          <w:rFonts w:ascii="宋体" w:hAnsi="宋体" w:hint="eastAsia"/>
          <w:b/>
          <w:bCs/>
          <w:iCs/>
          <w:sz w:val="24"/>
          <w:szCs w:val="24"/>
        </w:rPr>
        <w:t>化智联</w:t>
      </w:r>
      <w:proofErr w:type="gramEnd"/>
      <w:r w:rsidRPr="006530BC">
        <w:rPr>
          <w:rFonts w:ascii="宋体" w:hAnsi="宋体" w:hint="eastAsia"/>
          <w:b/>
          <w:bCs/>
          <w:iCs/>
          <w:sz w:val="24"/>
          <w:szCs w:val="24"/>
        </w:rPr>
        <w:t>股份</w:t>
      </w:r>
      <w:r w:rsidR="00D52BE0" w:rsidRPr="006530BC">
        <w:rPr>
          <w:rFonts w:ascii="宋体" w:hAnsi="宋体" w:hint="eastAsia"/>
          <w:b/>
          <w:bCs/>
          <w:iCs/>
          <w:sz w:val="24"/>
          <w:szCs w:val="24"/>
        </w:rPr>
        <w:t>有限公司投资者关系活动记录表</w:t>
      </w:r>
    </w:p>
    <w:p w:rsidR="00D52BE0" w:rsidRPr="006530BC" w:rsidRDefault="00D52BE0" w:rsidP="004C4CB7">
      <w:pPr>
        <w:spacing w:line="360" w:lineRule="auto"/>
        <w:rPr>
          <w:rFonts w:ascii="宋体" w:hAnsi="宋体"/>
          <w:bCs/>
          <w:iCs/>
          <w:sz w:val="24"/>
          <w:szCs w:val="24"/>
        </w:rPr>
      </w:pPr>
      <w:r w:rsidRPr="006530BC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3203F2" w:rsidRPr="006530BC">
        <w:rPr>
          <w:rFonts w:ascii="宋体" w:hAnsi="宋体" w:hint="eastAsia"/>
          <w:bCs/>
          <w:iCs/>
          <w:sz w:val="24"/>
          <w:szCs w:val="24"/>
        </w:rPr>
        <w:t>201</w:t>
      </w:r>
      <w:r w:rsidR="0094429A" w:rsidRPr="006530BC">
        <w:rPr>
          <w:rFonts w:ascii="宋体" w:hAnsi="宋体"/>
          <w:bCs/>
          <w:iCs/>
          <w:sz w:val="24"/>
          <w:szCs w:val="24"/>
        </w:rPr>
        <w:t>9-0</w:t>
      </w:r>
      <w:r w:rsidR="003203F2" w:rsidRPr="006530BC">
        <w:rPr>
          <w:rFonts w:ascii="宋体" w:hAnsi="宋体"/>
          <w:bCs/>
          <w:iCs/>
          <w:sz w:val="24"/>
          <w:szCs w:val="24"/>
        </w:rPr>
        <w:t>0</w:t>
      </w:r>
      <w:r w:rsidR="00240396">
        <w:rPr>
          <w:rFonts w:ascii="宋体" w:hAnsi="宋体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D52BE0" w:rsidRPr="006530BC" w:rsidTr="0094429A">
        <w:tc>
          <w:tcPr>
            <w:tcW w:w="1861" w:type="dxa"/>
            <w:shd w:val="clear" w:color="auto" w:fill="auto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D52BE0" w:rsidRPr="006530BC" w:rsidRDefault="00CE577A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D52BE0" w:rsidRPr="006530B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D52BE0"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D52BE0" w:rsidRPr="006530B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D52BE0" w:rsidRPr="006530BC" w:rsidRDefault="00D52BE0" w:rsidP="004C4CB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6530BC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D52BE0" w:rsidRPr="006530BC" w:rsidRDefault="00D52BE0" w:rsidP="004C4CB7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530BC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6530BC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6530BC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D52BE0" w:rsidRPr="006530BC" w:rsidTr="0094429A">
        <w:tc>
          <w:tcPr>
            <w:tcW w:w="1861" w:type="dxa"/>
            <w:shd w:val="clear" w:color="auto" w:fill="auto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35" w:type="dxa"/>
            <w:shd w:val="clear" w:color="auto" w:fill="auto"/>
          </w:tcPr>
          <w:p w:rsidR="00240396" w:rsidRDefault="006E15C5" w:rsidP="006E15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PARX</w:t>
            </w:r>
            <w:r>
              <w:rPr>
                <w:rFonts w:hint="eastAsia"/>
                <w:sz w:val="24"/>
                <w:szCs w:val="24"/>
              </w:rPr>
              <w:t>资产管理株式会社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投资调查</w:t>
            </w:r>
            <w:proofErr w:type="gramStart"/>
            <w:r>
              <w:rPr>
                <w:rFonts w:hint="eastAsia"/>
                <w:sz w:val="24"/>
                <w:szCs w:val="24"/>
              </w:rPr>
              <w:t>部基金</w:t>
            </w:r>
            <w:proofErr w:type="gramEnd"/>
            <w:r>
              <w:rPr>
                <w:rFonts w:hint="eastAsia"/>
                <w:sz w:val="24"/>
                <w:szCs w:val="24"/>
              </w:rPr>
              <w:t>经理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40396">
              <w:rPr>
                <w:rFonts w:hint="eastAsia"/>
                <w:sz w:val="24"/>
                <w:szCs w:val="24"/>
              </w:rPr>
              <w:t>松井宏平</w:t>
            </w:r>
          </w:p>
          <w:p w:rsidR="00D52BE0" w:rsidRDefault="00240396" w:rsidP="006E15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三井住友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</w:t>
            </w:r>
            <w:r w:rsidR="006E15C5">
              <w:rPr>
                <w:rFonts w:hint="eastAsia"/>
                <w:sz w:val="24"/>
                <w:szCs w:val="24"/>
              </w:rPr>
              <w:t>资产管理</w:t>
            </w:r>
            <w:r w:rsidR="006E15C5">
              <w:rPr>
                <w:rFonts w:hint="eastAsia"/>
                <w:sz w:val="24"/>
                <w:szCs w:val="24"/>
              </w:rPr>
              <w:t xml:space="preserve"> </w:t>
            </w:r>
            <w:r w:rsidR="006E15C5">
              <w:rPr>
                <w:sz w:val="24"/>
                <w:szCs w:val="24"/>
              </w:rPr>
              <w:t xml:space="preserve">    </w:t>
            </w:r>
            <w:r w:rsidR="006E15C5">
              <w:rPr>
                <w:rFonts w:hint="eastAsia"/>
                <w:sz w:val="24"/>
                <w:szCs w:val="24"/>
              </w:rPr>
              <w:t>全球股票投资经理</w:t>
            </w:r>
            <w:r w:rsidR="002D7C16">
              <w:rPr>
                <w:rFonts w:hint="eastAsia"/>
                <w:sz w:val="24"/>
                <w:szCs w:val="24"/>
              </w:rPr>
              <w:t xml:space="preserve"> </w:t>
            </w:r>
            <w:r w:rsidR="006E15C5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上原義信</w:t>
            </w:r>
          </w:p>
          <w:p w:rsidR="00240396" w:rsidRDefault="00240396" w:rsidP="002403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日本大和证券株式会社</w:t>
            </w:r>
            <w:r w:rsidR="002D7C16">
              <w:rPr>
                <w:rFonts w:hint="eastAsia"/>
                <w:sz w:val="24"/>
                <w:szCs w:val="24"/>
              </w:rPr>
              <w:t xml:space="preserve"> </w:t>
            </w:r>
            <w:r w:rsidR="002D7C16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情报投资部副部长</w:t>
            </w:r>
            <w:r w:rsidR="002D7C16">
              <w:rPr>
                <w:sz w:val="24"/>
                <w:szCs w:val="24"/>
              </w:rPr>
              <w:t xml:space="preserve"> </w:t>
            </w:r>
            <w:r w:rsidR="006E15C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山田雪乃</w:t>
            </w:r>
          </w:p>
          <w:p w:rsidR="00240396" w:rsidRDefault="00240396" w:rsidP="0024039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大和资本市场香港有限公司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D7C1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董事总经理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E15C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五百旗頭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治郞</w:t>
            </w:r>
          </w:p>
          <w:p w:rsidR="00240396" w:rsidRDefault="00240396" w:rsidP="0024039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大和资本市场香港有限公司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D7C1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副董事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6E15C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力</w:t>
            </w:r>
          </w:p>
          <w:p w:rsidR="00240396" w:rsidRPr="00240396" w:rsidRDefault="00240396" w:rsidP="006E15C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大和资本市场香港有限公司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D7C1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研究助理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E15C5"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hint="eastAsia"/>
                <w:sz w:val="24"/>
                <w:szCs w:val="24"/>
              </w:rPr>
              <w:t>郑雨萌</w:t>
            </w:r>
            <w:proofErr w:type="gramEnd"/>
          </w:p>
        </w:tc>
      </w:tr>
      <w:tr w:rsidR="00D52BE0" w:rsidRPr="006530BC" w:rsidTr="0094429A">
        <w:tc>
          <w:tcPr>
            <w:tcW w:w="1861" w:type="dxa"/>
            <w:shd w:val="clear" w:color="auto" w:fill="auto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35" w:type="dxa"/>
            <w:shd w:val="clear" w:color="auto" w:fill="auto"/>
          </w:tcPr>
          <w:p w:rsidR="00D52BE0" w:rsidRPr="006530BC" w:rsidRDefault="0094429A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/>
                <w:bCs/>
                <w:iCs/>
                <w:sz w:val="24"/>
                <w:szCs w:val="24"/>
              </w:rPr>
              <w:t>2019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530BC" w:rsidRPr="006530BC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CE577A"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40396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240396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CE577A"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D52BE0" w:rsidRPr="006530BC" w:rsidTr="0094429A">
        <w:tc>
          <w:tcPr>
            <w:tcW w:w="1861" w:type="dxa"/>
            <w:shd w:val="clear" w:color="auto" w:fill="auto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35" w:type="dxa"/>
            <w:shd w:val="clear" w:color="auto" w:fill="auto"/>
          </w:tcPr>
          <w:p w:rsidR="00D52BE0" w:rsidRPr="006530BC" w:rsidRDefault="003E2F42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浙江省杭州市</w:t>
            </w:r>
            <w:proofErr w:type="gramStart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萧山区</w:t>
            </w:r>
            <w:proofErr w:type="gramEnd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钱江</w:t>
            </w:r>
            <w:proofErr w:type="gramStart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世纪城传化</w:t>
            </w:r>
            <w:proofErr w:type="gramEnd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大厦会议室</w:t>
            </w:r>
          </w:p>
        </w:tc>
      </w:tr>
      <w:tr w:rsidR="00D52BE0" w:rsidRPr="006530BC" w:rsidTr="0094429A">
        <w:tc>
          <w:tcPr>
            <w:tcW w:w="1861" w:type="dxa"/>
            <w:shd w:val="clear" w:color="auto" w:fill="auto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35" w:type="dxa"/>
            <w:shd w:val="clear" w:color="auto" w:fill="auto"/>
          </w:tcPr>
          <w:p w:rsidR="004576B4" w:rsidRPr="006530BC" w:rsidRDefault="004576B4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传</w:t>
            </w:r>
            <w:proofErr w:type="gramStart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化智联</w:t>
            </w:r>
            <w:proofErr w:type="gramEnd"/>
            <w:r w:rsidR="00240396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Pr="006530BC"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 w:rsidR="00240396">
              <w:rPr>
                <w:rFonts w:ascii="宋体" w:hAnsi="宋体"/>
                <w:bCs/>
                <w:iCs/>
                <w:sz w:val="24"/>
                <w:szCs w:val="24"/>
              </w:rPr>
              <w:t xml:space="preserve">    </w:t>
            </w:r>
            <w:r w:rsidR="0024039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谢 </w:t>
            </w:r>
            <w:r w:rsidR="00240396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240396">
              <w:rPr>
                <w:rFonts w:ascii="宋体" w:hAnsi="宋体" w:hint="eastAsia"/>
                <w:bCs/>
                <w:iCs/>
                <w:sz w:val="24"/>
                <w:szCs w:val="24"/>
              </w:rPr>
              <w:t>萍</w:t>
            </w:r>
          </w:p>
          <w:p w:rsidR="0094429A" w:rsidRPr="006530BC" w:rsidRDefault="0094429A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传</w:t>
            </w:r>
            <w:proofErr w:type="gramStart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化智联</w:t>
            </w:r>
            <w:proofErr w:type="gramEnd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投资者关系 </w:t>
            </w:r>
            <w:r w:rsidRPr="006530BC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管明锋</w:t>
            </w:r>
            <w:proofErr w:type="gramEnd"/>
          </w:p>
        </w:tc>
      </w:tr>
      <w:tr w:rsidR="00D52BE0" w:rsidRPr="006530BC" w:rsidTr="0094429A">
        <w:trPr>
          <w:trHeight w:val="1757"/>
        </w:trPr>
        <w:tc>
          <w:tcPr>
            <w:tcW w:w="1861" w:type="dxa"/>
            <w:shd w:val="clear" w:color="auto" w:fill="auto"/>
            <w:vAlign w:val="center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443EDF" w:rsidRDefault="00F50FAD" w:rsidP="004C4CB7">
            <w:pPr>
              <w:spacing w:line="360" w:lineRule="auto"/>
              <w:ind w:firstLine="507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1、上市公司业务中物流和化工的体量分别是多少？未来这两大业务的发展规划及增长趋势如何？</w:t>
            </w:r>
          </w:p>
          <w:p w:rsidR="00F50FAD" w:rsidRDefault="00345A01" w:rsidP="004C4CB7">
            <w:pPr>
              <w:spacing w:line="360" w:lineRule="auto"/>
              <w:ind w:firstLine="507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2D7C16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2D7C16">
              <w:rPr>
                <w:rFonts w:ascii="宋体" w:hAnsi="宋体"/>
                <w:bCs/>
                <w:iCs/>
                <w:sz w:val="24"/>
                <w:szCs w:val="24"/>
              </w:rPr>
              <w:t>018</w:t>
            </w:r>
            <w:r w:rsidR="002D7C16">
              <w:rPr>
                <w:rFonts w:ascii="宋体" w:hAnsi="宋体" w:hint="eastAsia"/>
                <w:bCs/>
                <w:iCs/>
                <w:sz w:val="24"/>
                <w:szCs w:val="24"/>
              </w:rPr>
              <w:t>年公司物流业务收入规模为1</w:t>
            </w:r>
            <w:r w:rsidR="002D7C16">
              <w:rPr>
                <w:rFonts w:ascii="宋体" w:hAnsi="宋体"/>
                <w:bCs/>
                <w:iCs/>
                <w:sz w:val="24"/>
                <w:szCs w:val="24"/>
              </w:rPr>
              <w:t>38.8</w:t>
            </w:r>
            <w:r w:rsidR="002D7C16">
              <w:rPr>
                <w:rFonts w:ascii="宋体" w:hAnsi="宋体" w:hint="eastAsia"/>
                <w:bCs/>
                <w:iCs/>
                <w:sz w:val="24"/>
                <w:szCs w:val="24"/>
              </w:rPr>
              <w:t>亿元人民币，化工业务收入规模为6</w:t>
            </w:r>
            <w:r w:rsidR="002D7C16">
              <w:rPr>
                <w:rFonts w:ascii="宋体" w:hAnsi="宋体"/>
                <w:bCs/>
                <w:iCs/>
                <w:sz w:val="24"/>
                <w:szCs w:val="24"/>
              </w:rPr>
              <w:t>2.7</w:t>
            </w:r>
            <w:r w:rsidR="002D7C16">
              <w:rPr>
                <w:rFonts w:ascii="宋体" w:hAnsi="宋体" w:hint="eastAsia"/>
                <w:bCs/>
                <w:iCs/>
                <w:sz w:val="24"/>
                <w:szCs w:val="24"/>
              </w:rPr>
              <w:t>亿元人民币，占比分别为6</w:t>
            </w:r>
            <w:r w:rsidR="002D7C16">
              <w:rPr>
                <w:rFonts w:ascii="宋体" w:hAnsi="宋体"/>
                <w:bCs/>
                <w:iCs/>
                <w:sz w:val="24"/>
                <w:szCs w:val="24"/>
              </w:rPr>
              <w:t>8.87</w:t>
            </w:r>
            <w:r w:rsidR="002D7C16">
              <w:rPr>
                <w:rFonts w:ascii="宋体" w:hAnsi="宋体" w:hint="eastAsia"/>
                <w:bCs/>
                <w:iCs/>
                <w:sz w:val="24"/>
                <w:szCs w:val="24"/>
              </w:rPr>
              <w:t>%和3</w:t>
            </w:r>
            <w:r w:rsidR="002D7C16">
              <w:rPr>
                <w:rFonts w:ascii="宋体" w:hAnsi="宋体"/>
                <w:bCs/>
                <w:iCs/>
                <w:sz w:val="24"/>
                <w:szCs w:val="24"/>
              </w:rPr>
              <w:t>1.13</w:t>
            </w:r>
            <w:r w:rsidR="002D7C16">
              <w:rPr>
                <w:rFonts w:ascii="宋体" w:hAnsi="宋体" w:hint="eastAsia"/>
                <w:bCs/>
                <w:iCs/>
                <w:sz w:val="24"/>
                <w:szCs w:val="24"/>
              </w:rPr>
              <w:t>%。在业务增速方面，由于化工业务是公司最早起家的一块业务，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市场规模已在行业具有领先地位，上下游客户相对比较稳定，收入增长基本与近几年的增速相同。物流业务相比较化工发展速度会比较快一些，因为公司在未来几年需要按照业绩承诺完成目标，并且将继续在公路物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行业扩张市场，而我国的公路物流行业又较为分散，行业空间巨大，因此业务成长性较好。</w:t>
            </w:r>
          </w:p>
          <w:p w:rsidR="00345A01" w:rsidRDefault="00345A01" w:rsidP="004C4CB7">
            <w:pPr>
              <w:spacing w:line="360" w:lineRule="auto"/>
              <w:ind w:firstLine="507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目前化工和物流两块业务将继续在上市公司开展，重点发展物流业务为主。主要是考虑到要将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物流板块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打造成生产制造企业的综合供应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链服务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平台，一方面公司有制造业的基因，</w:t>
            </w:r>
            <w:r w:rsidR="00C32538">
              <w:rPr>
                <w:rFonts w:ascii="宋体" w:hAnsi="宋体" w:hint="eastAsia"/>
                <w:bCs/>
                <w:iCs/>
                <w:sz w:val="24"/>
                <w:szCs w:val="24"/>
              </w:rPr>
              <w:t>了解制造行业对物流供应链的需求；另一方面物流一些模式和产品能够更好地服务化工制造业。</w:t>
            </w:r>
          </w:p>
          <w:p w:rsidR="007E7389" w:rsidRDefault="007E7389" w:rsidP="004C4CB7">
            <w:pPr>
              <w:spacing w:line="360" w:lineRule="auto"/>
              <w:ind w:firstLine="507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</w:p>
          <w:p w:rsidR="00F50FAD" w:rsidRDefault="00F50FAD" w:rsidP="004C4CB7">
            <w:pPr>
              <w:spacing w:line="360" w:lineRule="auto"/>
              <w:ind w:firstLine="507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、公司物流业务为什么能发展这么快？在投资方面是如何考虑的？</w:t>
            </w:r>
          </w:p>
          <w:p w:rsidR="00F50FAD" w:rsidRDefault="007E7389" w:rsidP="004C4CB7">
            <w:pPr>
              <w:spacing w:line="360" w:lineRule="auto"/>
              <w:ind w:firstLine="507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062B8F">
              <w:rPr>
                <w:rFonts w:ascii="宋体" w:hAnsi="宋体" w:hint="eastAsia"/>
                <w:bCs/>
                <w:iCs/>
                <w:sz w:val="24"/>
                <w:szCs w:val="24"/>
              </w:rPr>
              <w:t>首先我国的公路物流行业市场空间非常大，占全国物流总额的7</w:t>
            </w:r>
            <w:r w:rsidR="00062B8F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062B8F">
              <w:rPr>
                <w:rFonts w:ascii="宋体" w:hAnsi="宋体" w:hint="eastAsia"/>
                <w:bCs/>
                <w:iCs/>
                <w:sz w:val="24"/>
                <w:szCs w:val="24"/>
              </w:rPr>
              <w:t>%以上，但行业内的参与者那些物流企业规模都非常小，整体市场非常分散，因此在1</w:t>
            </w:r>
            <w:r w:rsidR="00062B8F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062B8F">
              <w:rPr>
                <w:rFonts w:ascii="宋体" w:hAnsi="宋体" w:hint="eastAsia"/>
                <w:bCs/>
                <w:iCs/>
                <w:sz w:val="24"/>
                <w:szCs w:val="24"/>
              </w:rPr>
              <w:t>年前董事长在探索这个行业过程中，意识到我们如果能够通过平台模式整合行业，可以发挥更大的作用，因此传化是最早进入这个行业领域的</w:t>
            </w:r>
            <w:r w:rsidR="00D23CD8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62B8F">
              <w:rPr>
                <w:rFonts w:ascii="宋体" w:hAnsi="宋体" w:hint="eastAsia"/>
                <w:bCs/>
                <w:iCs/>
                <w:sz w:val="24"/>
                <w:szCs w:val="24"/>
              </w:rPr>
              <w:t>是基于对市场的认识</w:t>
            </w:r>
            <w:r w:rsidR="00D23CD8">
              <w:rPr>
                <w:rFonts w:ascii="宋体" w:hAnsi="宋体" w:hint="eastAsia"/>
                <w:bCs/>
                <w:iCs/>
                <w:sz w:val="24"/>
                <w:szCs w:val="24"/>
              </w:rPr>
              <w:t>以及多年来积累的</w:t>
            </w:r>
            <w:proofErr w:type="gramStart"/>
            <w:r w:rsidR="00D23CD8">
              <w:rPr>
                <w:rFonts w:ascii="宋体" w:hAnsi="宋体" w:hint="eastAsia"/>
                <w:bCs/>
                <w:iCs/>
                <w:sz w:val="24"/>
                <w:szCs w:val="24"/>
              </w:rPr>
              <w:t>公路港园区</w:t>
            </w:r>
            <w:proofErr w:type="gramEnd"/>
            <w:r w:rsidR="00D23CD8">
              <w:rPr>
                <w:rFonts w:ascii="宋体" w:hAnsi="宋体" w:hint="eastAsia"/>
                <w:bCs/>
                <w:iCs/>
                <w:sz w:val="24"/>
                <w:szCs w:val="24"/>
              </w:rPr>
              <w:t>运作经验。其次我们认为通过打造这种平台化模式能够更好地</w:t>
            </w:r>
            <w:proofErr w:type="gramStart"/>
            <w:r w:rsidR="00D23CD8">
              <w:rPr>
                <w:rFonts w:ascii="宋体" w:hAnsi="宋体" w:hint="eastAsia"/>
                <w:bCs/>
                <w:iCs/>
                <w:sz w:val="24"/>
                <w:szCs w:val="24"/>
              </w:rPr>
              <w:t>尽一些</w:t>
            </w:r>
            <w:proofErr w:type="gramEnd"/>
            <w:r w:rsidR="00D23CD8">
              <w:rPr>
                <w:rFonts w:ascii="宋体" w:hAnsi="宋体" w:hint="eastAsia"/>
                <w:bCs/>
                <w:iCs/>
                <w:sz w:val="24"/>
                <w:szCs w:val="24"/>
              </w:rPr>
              <w:t>社会责任，比如我们打造的系统能够赋能中小物流企业，带动一个区域经济的整体提升。</w:t>
            </w:r>
          </w:p>
          <w:p w:rsidR="00D23CD8" w:rsidRDefault="00D23CD8" w:rsidP="004C4CB7">
            <w:pPr>
              <w:spacing w:line="360" w:lineRule="auto"/>
              <w:ind w:firstLine="507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在投资方面我们对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公路港网络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的从选址到建设到运营有一整套标准，是跟国家枢纽建设规划相契合的，并且根据行业的发展，我们对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公路港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模式和功能也在不断升级迭代，提供更全面的物流服务。</w:t>
            </w:r>
          </w:p>
          <w:p w:rsidR="007E7389" w:rsidRDefault="007E7389" w:rsidP="004C4CB7">
            <w:pPr>
              <w:spacing w:line="360" w:lineRule="auto"/>
              <w:ind w:firstLine="507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</w:p>
          <w:p w:rsidR="00F50FAD" w:rsidRDefault="00F50FAD" w:rsidP="004C4CB7">
            <w:pPr>
              <w:spacing w:line="360" w:lineRule="auto"/>
              <w:ind w:firstLine="507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3、2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年公司业务收入突然增长较快是什么原因导致的？</w:t>
            </w:r>
            <w:r w:rsidR="00F96321">
              <w:rPr>
                <w:rFonts w:ascii="宋体" w:hAnsi="宋体" w:hint="eastAsia"/>
                <w:bCs/>
                <w:iCs/>
                <w:sz w:val="24"/>
                <w:szCs w:val="24"/>
              </w:rPr>
              <w:t>是否有相关并购行为？</w:t>
            </w:r>
          </w:p>
          <w:p w:rsidR="00CD63FE" w:rsidRDefault="007E7389" w:rsidP="004C4CB7">
            <w:pPr>
              <w:spacing w:line="360" w:lineRule="auto"/>
              <w:ind w:firstLine="507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年收入的增长主要是由于公司开始探索供应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链业务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导致，</w:t>
            </w:r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t>没有发生相关并购业务。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</w:t>
            </w:r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t>通过打造O</w:t>
            </w:r>
            <w:r w:rsidR="00CD63FE">
              <w:rPr>
                <w:rFonts w:ascii="宋体" w:hAnsi="宋体"/>
                <w:bCs/>
                <w:iCs/>
                <w:sz w:val="24"/>
                <w:szCs w:val="24"/>
              </w:rPr>
              <w:t>MS</w:t>
            </w:r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t>、T</w:t>
            </w:r>
            <w:r w:rsidR="00CD63FE">
              <w:rPr>
                <w:rFonts w:ascii="宋体" w:hAnsi="宋体"/>
                <w:bCs/>
                <w:iCs/>
                <w:sz w:val="24"/>
                <w:szCs w:val="24"/>
              </w:rPr>
              <w:t>MS</w:t>
            </w:r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t>和W</w:t>
            </w:r>
            <w:r w:rsidR="00CD63FE">
              <w:rPr>
                <w:rFonts w:ascii="宋体" w:hAnsi="宋体"/>
                <w:bCs/>
                <w:iCs/>
                <w:sz w:val="24"/>
                <w:szCs w:val="24"/>
              </w:rPr>
              <w:t>MS</w:t>
            </w:r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t>系统，以及整合</w:t>
            </w:r>
            <w:proofErr w:type="gramStart"/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t>公路港</w:t>
            </w:r>
            <w:proofErr w:type="gramEnd"/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t>资源</w:t>
            </w:r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为生产制造企业提供</w:t>
            </w:r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t>从</w:t>
            </w:r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原料采购、运输、仓储、配送等一系列的供应</w:t>
            </w:r>
            <w:proofErr w:type="gramStart"/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t>链解决</w:t>
            </w:r>
            <w:proofErr w:type="gramEnd"/>
            <w:r w:rsidR="00CD63FE">
              <w:rPr>
                <w:rFonts w:ascii="宋体" w:hAnsi="宋体" w:hint="eastAsia"/>
                <w:bCs/>
                <w:iCs/>
                <w:sz w:val="24"/>
                <w:szCs w:val="24"/>
              </w:rPr>
              <w:t>方案。</w:t>
            </w:r>
          </w:p>
          <w:p w:rsidR="00F96321" w:rsidRDefault="00CD63FE" w:rsidP="004C4CB7">
            <w:pPr>
              <w:spacing w:line="360" w:lineRule="auto"/>
              <w:ind w:firstLine="507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  <w:p w:rsidR="00F96321" w:rsidRDefault="00F96321" w:rsidP="004C4CB7">
            <w:pPr>
              <w:spacing w:line="360" w:lineRule="auto"/>
              <w:ind w:firstLine="507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4、</w:t>
            </w:r>
            <w:r w:rsidR="002D7C16">
              <w:rPr>
                <w:rFonts w:ascii="宋体" w:hAnsi="宋体" w:hint="eastAsia"/>
                <w:bCs/>
                <w:iCs/>
                <w:sz w:val="24"/>
                <w:szCs w:val="24"/>
              </w:rPr>
              <w:t>报表中资产负债表中的资产主要构成情况？</w:t>
            </w:r>
          </w:p>
          <w:p w:rsidR="00CD63FE" w:rsidRPr="00F50FAD" w:rsidRDefault="00CD63FE" w:rsidP="004C4CB7">
            <w:pPr>
              <w:spacing w:line="360" w:lineRule="auto"/>
              <w:ind w:firstLine="507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答：资产负债表中的资产构成主要为公路港土地和房产相关资产。</w:t>
            </w:r>
            <w:bookmarkStart w:id="0" w:name="_GoBack"/>
            <w:bookmarkEnd w:id="0"/>
          </w:p>
        </w:tc>
      </w:tr>
      <w:tr w:rsidR="00D52BE0" w:rsidRPr="006530BC" w:rsidTr="0094429A">
        <w:tc>
          <w:tcPr>
            <w:tcW w:w="1861" w:type="dxa"/>
            <w:shd w:val="clear" w:color="auto" w:fill="auto"/>
            <w:vAlign w:val="center"/>
          </w:tcPr>
          <w:p w:rsidR="00D52BE0" w:rsidRPr="006530BC" w:rsidRDefault="00D52BE0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35" w:type="dxa"/>
            <w:shd w:val="clear" w:color="auto" w:fill="auto"/>
          </w:tcPr>
          <w:p w:rsidR="00D52BE0" w:rsidRPr="006530BC" w:rsidRDefault="00552413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94429A" w:rsidRPr="006530BC" w:rsidTr="0094429A">
        <w:tc>
          <w:tcPr>
            <w:tcW w:w="1861" w:type="dxa"/>
            <w:shd w:val="clear" w:color="auto" w:fill="auto"/>
            <w:vAlign w:val="center"/>
          </w:tcPr>
          <w:p w:rsidR="0094429A" w:rsidRPr="006530BC" w:rsidRDefault="0094429A" w:rsidP="004C4CB7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435" w:type="dxa"/>
            <w:shd w:val="clear" w:color="auto" w:fill="auto"/>
          </w:tcPr>
          <w:p w:rsidR="0094429A" w:rsidRPr="006530BC" w:rsidRDefault="0094429A" w:rsidP="004C4CB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530BC">
              <w:rPr>
                <w:rFonts w:ascii="宋体" w:hAnsi="宋体"/>
                <w:bCs/>
                <w:iCs/>
                <w:sz w:val="24"/>
                <w:szCs w:val="24"/>
              </w:rPr>
              <w:t>2019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C4CB7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E15C5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6E15C5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Pr="006530B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D52BE0" w:rsidRPr="006530BC" w:rsidRDefault="00D52BE0" w:rsidP="004C4CB7">
      <w:pPr>
        <w:spacing w:line="360" w:lineRule="auto"/>
        <w:ind w:firstLineChars="200" w:firstLine="480"/>
        <w:rPr>
          <w:sz w:val="24"/>
          <w:szCs w:val="24"/>
        </w:rPr>
      </w:pPr>
    </w:p>
    <w:p w:rsidR="00042520" w:rsidRPr="006530BC" w:rsidRDefault="00042520" w:rsidP="004C4CB7">
      <w:pPr>
        <w:widowControl/>
        <w:spacing w:line="360" w:lineRule="auto"/>
        <w:jc w:val="left"/>
        <w:rPr>
          <w:sz w:val="24"/>
          <w:szCs w:val="24"/>
        </w:rPr>
      </w:pPr>
    </w:p>
    <w:sectPr w:rsidR="00042520" w:rsidRPr="006530BC" w:rsidSect="00042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264" w:rsidRDefault="00E85264" w:rsidP="001F56B7">
      <w:r>
        <w:separator/>
      </w:r>
    </w:p>
  </w:endnote>
  <w:endnote w:type="continuationSeparator" w:id="0">
    <w:p w:rsidR="00E85264" w:rsidRDefault="00E85264" w:rsidP="001F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264" w:rsidRDefault="00E85264" w:rsidP="001F56B7">
      <w:r>
        <w:separator/>
      </w:r>
    </w:p>
  </w:footnote>
  <w:footnote w:type="continuationSeparator" w:id="0">
    <w:p w:rsidR="00E85264" w:rsidRDefault="00E85264" w:rsidP="001F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211B"/>
    <w:multiLevelType w:val="hybridMultilevel"/>
    <w:tmpl w:val="71BCA5D6"/>
    <w:lvl w:ilvl="0" w:tplc="A496BEAC">
      <w:start w:val="1"/>
      <w:numFmt w:val="decimal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8B6E53"/>
    <w:multiLevelType w:val="hybridMultilevel"/>
    <w:tmpl w:val="279266A0"/>
    <w:lvl w:ilvl="0" w:tplc="D3D2E0C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EB2AD5"/>
    <w:multiLevelType w:val="hybridMultilevel"/>
    <w:tmpl w:val="8A2E7074"/>
    <w:lvl w:ilvl="0" w:tplc="29FABD9C">
      <w:start w:val="1"/>
      <w:numFmt w:val="decimal"/>
      <w:lvlText w:val="%1、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7" w:hanging="420"/>
      </w:pPr>
    </w:lvl>
    <w:lvl w:ilvl="2" w:tplc="0409001B" w:tentative="1">
      <w:start w:val="1"/>
      <w:numFmt w:val="lowerRoman"/>
      <w:lvlText w:val="%3."/>
      <w:lvlJc w:val="righ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9" w:tentative="1">
      <w:start w:val="1"/>
      <w:numFmt w:val="lowerLetter"/>
      <w:lvlText w:val="%5)"/>
      <w:lvlJc w:val="left"/>
      <w:pPr>
        <w:ind w:left="2607" w:hanging="420"/>
      </w:pPr>
    </w:lvl>
    <w:lvl w:ilvl="5" w:tplc="0409001B" w:tentative="1">
      <w:start w:val="1"/>
      <w:numFmt w:val="lowerRoman"/>
      <w:lvlText w:val="%6."/>
      <w:lvlJc w:val="righ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9" w:tentative="1">
      <w:start w:val="1"/>
      <w:numFmt w:val="lowerLetter"/>
      <w:lvlText w:val="%8)"/>
      <w:lvlJc w:val="left"/>
      <w:pPr>
        <w:ind w:left="3867" w:hanging="420"/>
      </w:pPr>
    </w:lvl>
    <w:lvl w:ilvl="8" w:tplc="0409001B" w:tentative="1">
      <w:start w:val="1"/>
      <w:numFmt w:val="lowerRoman"/>
      <w:lvlText w:val="%9."/>
      <w:lvlJc w:val="right"/>
      <w:pPr>
        <w:ind w:left="428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0F"/>
    <w:rsid w:val="0003456C"/>
    <w:rsid w:val="00041D8E"/>
    <w:rsid w:val="00042520"/>
    <w:rsid w:val="0005142F"/>
    <w:rsid w:val="000627C3"/>
    <w:rsid w:val="00062B8F"/>
    <w:rsid w:val="00066311"/>
    <w:rsid w:val="00075CAF"/>
    <w:rsid w:val="00092C60"/>
    <w:rsid w:val="00095C96"/>
    <w:rsid w:val="000A1D1F"/>
    <w:rsid w:val="000A7026"/>
    <w:rsid w:val="000E3923"/>
    <w:rsid w:val="000E45F9"/>
    <w:rsid w:val="000F69C7"/>
    <w:rsid w:val="000F6E58"/>
    <w:rsid w:val="0012249A"/>
    <w:rsid w:val="0012578F"/>
    <w:rsid w:val="00155494"/>
    <w:rsid w:val="0018202A"/>
    <w:rsid w:val="001C0E38"/>
    <w:rsid w:val="001E2161"/>
    <w:rsid w:val="001F56B7"/>
    <w:rsid w:val="002037B5"/>
    <w:rsid w:val="00206402"/>
    <w:rsid w:val="002177D9"/>
    <w:rsid w:val="00240396"/>
    <w:rsid w:val="00247B09"/>
    <w:rsid w:val="00262935"/>
    <w:rsid w:val="00276168"/>
    <w:rsid w:val="00285F40"/>
    <w:rsid w:val="002A5B7B"/>
    <w:rsid w:val="002D7C16"/>
    <w:rsid w:val="002E7DF7"/>
    <w:rsid w:val="003039F1"/>
    <w:rsid w:val="003203F2"/>
    <w:rsid w:val="00343057"/>
    <w:rsid w:val="003441F8"/>
    <w:rsid w:val="00345A01"/>
    <w:rsid w:val="00383FF5"/>
    <w:rsid w:val="003A1264"/>
    <w:rsid w:val="003A2A4C"/>
    <w:rsid w:val="003C43CD"/>
    <w:rsid w:val="003D5250"/>
    <w:rsid w:val="003D786E"/>
    <w:rsid w:val="003E2F42"/>
    <w:rsid w:val="003E56AC"/>
    <w:rsid w:val="00400F78"/>
    <w:rsid w:val="0040284B"/>
    <w:rsid w:val="00421C26"/>
    <w:rsid w:val="0043547E"/>
    <w:rsid w:val="00443EDF"/>
    <w:rsid w:val="00446C9B"/>
    <w:rsid w:val="004576B4"/>
    <w:rsid w:val="00470220"/>
    <w:rsid w:val="0047310F"/>
    <w:rsid w:val="004B485F"/>
    <w:rsid w:val="004C4CB7"/>
    <w:rsid w:val="004D1301"/>
    <w:rsid w:val="004D7684"/>
    <w:rsid w:val="00520D26"/>
    <w:rsid w:val="005351D2"/>
    <w:rsid w:val="00552413"/>
    <w:rsid w:val="00552EE5"/>
    <w:rsid w:val="005560DA"/>
    <w:rsid w:val="005667EB"/>
    <w:rsid w:val="005704AC"/>
    <w:rsid w:val="00576655"/>
    <w:rsid w:val="00577576"/>
    <w:rsid w:val="00593ED8"/>
    <w:rsid w:val="005A1D2B"/>
    <w:rsid w:val="005B03AB"/>
    <w:rsid w:val="005B3FB3"/>
    <w:rsid w:val="005D6D0D"/>
    <w:rsid w:val="005E18E2"/>
    <w:rsid w:val="0060772A"/>
    <w:rsid w:val="00612D34"/>
    <w:rsid w:val="00631B07"/>
    <w:rsid w:val="0064193A"/>
    <w:rsid w:val="00644542"/>
    <w:rsid w:val="006530BC"/>
    <w:rsid w:val="0065573D"/>
    <w:rsid w:val="006616F1"/>
    <w:rsid w:val="00664C7F"/>
    <w:rsid w:val="00681B6F"/>
    <w:rsid w:val="00697D92"/>
    <w:rsid w:val="006B3469"/>
    <w:rsid w:val="006B40F1"/>
    <w:rsid w:val="006D3919"/>
    <w:rsid w:val="006D616C"/>
    <w:rsid w:val="006E15C5"/>
    <w:rsid w:val="006E4CD2"/>
    <w:rsid w:val="006F77CE"/>
    <w:rsid w:val="007406C5"/>
    <w:rsid w:val="007507BF"/>
    <w:rsid w:val="007531FC"/>
    <w:rsid w:val="00780409"/>
    <w:rsid w:val="007A4FF0"/>
    <w:rsid w:val="007B5603"/>
    <w:rsid w:val="007D43EA"/>
    <w:rsid w:val="007E7389"/>
    <w:rsid w:val="008045C8"/>
    <w:rsid w:val="00816F10"/>
    <w:rsid w:val="00820F49"/>
    <w:rsid w:val="00822274"/>
    <w:rsid w:val="00840CA1"/>
    <w:rsid w:val="00891155"/>
    <w:rsid w:val="00891D7A"/>
    <w:rsid w:val="008955F3"/>
    <w:rsid w:val="008C2239"/>
    <w:rsid w:val="008C7C62"/>
    <w:rsid w:val="008D3706"/>
    <w:rsid w:val="008E1358"/>
    <w:rsid w:val="008F1AC7"/>
    <w:rsid w:val="008F7DC6"/>
    <w:rsid w:val="00911277"/>
    <w:rsid w:val="0094429A"/>
    <w:rsid w:val="0094577D"/>
    <w:rsid w:val="009736D3"/>
    <w:rsid w:val="009B510A"/>
    <w:rsid w:val="009C646F"/>
    <w:rsid w:val="009D67D6"/>
    <w:rsid w:val="009E0506"/>
    <w:rsid w:val="009F1D61"/>
    <w:rsid w:val="00A100F9"/>
    <w:rsid w:val="00A15637"/>
    <w:rsid w:val="00A232A8"/>
    <w:rsid w:val="00A619C6"/>
    <w:rsid w:val="00A71C47"/>
    <w:rsid w:val="00AB6AEA"/>
    <w:rsid w:val="00B02468"/>
    <w:rsid w:val="00B5720F"/>
    <w:rsid w:val="00B60732"/>
    <w:rsid w:val="00B644F4"/>
    <w:rsid w:val="00B96F0D"/>
    <w:rsid w:val="00BB71B4"/>
    <w:rsid w:val="00BC697C"/>
    <w:rsid w:val="00BE6628"/>
    <w:rsid w:val="00C32538"/>
    <w:rsid w:val="00C34B4F"/>
    <w:rsid w:val="00CA46BC"/>
    <w:rsid w:val="00CD63FE"/>
    <w:rsid w:val="00CE1455"/>
    <w:rsid w:val="00CE577A"/>
    <w:rsid w:val="00D137DA"/>
    <w:rsid w:val="00D23CD8"/>
    <w:rsid w:val="00D243CF"/>
    <w:rsid w:val="00D35BA8"/>
    <w:rsid w:val="00D52BE0"/>
    <w:rsid w:val="00D53886"/>
    <w:rsid w:val="00D63DDD"/>
    <w:rsid w:val="00D643B5"/>
    <w:rsid w:val="00D86583"/>
    <w:rsid w:val="00D87FEC"/>
    <w:rsid w:val="00D90121"/>
    <w:rsid w:val="00D95ADC"/>
    <w:rsid w:val="00DA0943"/>
    <w:rsid w:val="00DD1E07"/>
    <w:rsid w:val="00DE2C30"/>
    <w:rsid w:val="00DE7927"/>
    <w:rsid w:val="00DF29B3"/>
    <w:rsid w:val="00E03AF3"/>
    <w:rsid w:val="00E248B5"/>
    <w:rsid w:val="00E334AD"/>
    <w:rsid w:val="00E71AA5"/>
    <w:rsid w:val="00E84631"/>
    <w:rsid w:val="00E85264"/>
    <w:rsid w:val="00EA4686"/>
    <w:rsid w:val="00EC2CF1"/>
    <w:rsid w:val="00EC3F99"/>
    <w:rsid w:val="00EF070A"/>
    <w:rsid w:val="00EF33A3"/>
    <w:rsid w:val="00EF64D4"/>
    <w:rsid w:val="00F07736"/>
    <w:rsid w:val="00F237F4"/>
    <w:rsid w:val="00F2592A"/>
    <w:rsid w:val="00F50FAD"/>
    <w:rsid w:val="00F6321A"/>
    <w:rsid w:val="00F81A30"/>
    <w:rsid w:val="00F81E3E"/>
    <w:rsid w:val="00F8481E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F5317"/>
  <w15:docId w15:val="{BD997A5E-9CAE-41AD-A237-E7C430F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B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6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6B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C3F9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41D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1D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3</Pages>
  <Words>225</Words>
  <Characters>1288</Characters>
  <Application>Microsoft Office Word</Application>
  <DocSecurity>0</DocSecurity>
  <Lines>10</Lines>
  <Paragraphs>3</Paragraphs>
  <ScaleCrop>false</ScaleCrop>
  <Company>微软中国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mingfeng guan</cp:lastModifiedBy>
  <cp:revision>9</cp:revision>
  <cp:lastPrinted>2016-04-01T04:39:00Z</cp:lastPrinted>
  <dcterms:created xsi:type="dcterms:W3CDTF">2019-01-21T09:53:00Z</dcterms:created>
  <dcterms:modified xsi:type="dcterms:W3CDTF">2019-05-22T06:57:00Z</dcterms:modified>
</cp:coreProperties>
</file>