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400" w:lineRule="exact"/>
        <w:ind w:firstLine="480" w:firstLineChars="200"/>
        <w:rPr>
          <w:bCs/>
          <w:iCs/>
          <w:sz w:val="24"/>
        </w:rPr>
      </w:pPr>
      <w:r>
        <w:rPr>
          <w:rFonts w:hint="eastAsia"/>
          <w:bCs/>
          <w:iCs/>
          <w:sz w:val="24"/>
        </w:rPr>
        <w:t>证券代码：</w:t>
      </w:r>
      <w:r>
        <w:rPr>
          <w:bCs/>
          <w:iCs/>
          <w:sz w:val="24"/>
        </w:rPr>
        <w:t xml:space="preserve">002631                             </w:t>
      </w:r>
      <w:r>
        <w:rPr>
          <w:rFonts w:hint="eastAsia"/>
          <w:bCs/>
          <w:iCs/>
          <w:sz w:val="24"/>
        </w:rPr>
        <w:t>证券简称：德尔未来</w:t>
      </w:r>
    </w:p>
    <w:p>
      <w:pPr>
        <w:spacing w:beforeLines="50" w:afterLines="50" w:line="400" w:lineRule="exact"/>
        <w:ind w:firstLine="480" w:firstLineChars="200"/>
        <w:rPr>
          <w:bCs/>
          <w:iCs/>
          <w:sz w:val="24"/>
        </w:rPr>
      </w:pPr>
    </w:p>
    <w:p>
      <w:pPr>
        <w:spacing w:beforeLines="50" w:afterLines="50" w:line="400" w:lineRule="exact"/>
        <w:jc w:val="center"/>
        <w:rPr>
          <w:b/>
          <w:bCs/>
          <w:iCs/>
          <w:sz w:val="24"/>
          <w:szCs w:val="24"/>
        </w:rPr>
      </w:pPr>
      <w:r>
        <w:rPr>
          <w:rFonts w:hint="eastAsia"/>
          <w:b/>
          <w:bCs/>
          <w:iCs/>
          <w:sz w:val="24"/>
          <w:szCs w:val="24"/>
        </w:rPr>
        <w:t>德尔未来科技控股集团股份有限公司</w:t>
      </w:r>
      <w:bookmarkStart w:id="0" w:name="_GoBack"/>
      <w:bookmarkEnd w:id="0"/>
      <w:r>
        <w:rPr>
          <w:rFonts w:hint="eastAsia"/>
          <w:b/>
          <w:bCs/>
          <w:iCs/>
          <w:sz w:val="24"/>
          <w:szCs w:val="24"/>
        </w:rPr>
        <w:t>投资者关系活动记录表</w:t>
      </w:r>
    </w:p>
    <w:p>
      <w:pPr>
        <w:spacing w:line="400" w:lineRule="exac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 </w:t>
      </w:r>
      <w:r>
        <w:rPr>
          <w:rFonts w:hint="eastAsia"/>
          <w:bCs/>
          <w:iCs/>
          <w:sz w:val="24"/>
          <w:szCs w:val="24"/>
        </w:rPr>
        <w:t>编号：</w:t>
      </w:r>
      <w:r>
        <w:rPr>
          <w:bCs/>
          <w:iCs/>
          <w:sz w:val="24"/>
          <w:szCs w:val="24"/>
        </w:rPr>
        <w:t>201</w:t>
      </w:r>
      <w:r>
        <w:rPr>
          <w:rFonts w:hint="eastAsia"/>
          <w:bCs/>
          <w:iCs/>
          <w:sz w:val="24"/>
          <w:szCs w:val="24"/>
          <w:lang w:val="en-US" w:eastAsia="zh-CN"/>
        </w:rPr>
        <w:t>9</w:t>
      </w:r>
      <w:r>
        <w:rPr>
          <w:bCs/>
          <w:iCs/>
          <w:sz w:val="24"/>
          <w:szCs w:val="24"/>
        </w:rPr>
        <w:t>-01</w:t>
      </w:r>
    </w:p>
    <w:tbl>
      <w:tblPr>
        <w:tblStyle w:val="2"/>
        <w:tblpPr w:leftFromText="180" w:rightFromText="180" w:vertAnchor="text" w:tblpXSpec="center" w:tblpY="1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rFonts w:hint="eastAsia"/>
                <w:b/>
                <w:bCs/>
                <w:iCs/>
                <w:sz w:val="24"/>
                <w:szCs w:val="24"/>
              </w:rPr>
              <w:t>投资者关系</w:t>
            </w:r>
          </w:p>
          <w:p>
            <w:pPr>
              <w:spacing w:line="480" w:lineRule="atLeast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rFonts w:hint="eastAsia"/>
                <w:b/>
                <w:bCs/>
                <w:iCs/>
                <w:sz w:val="24"/>
                <w:szCs w:val="24"/>
              </w:rPr>
              <w:t>活动类别</w:t>
            </w:r>
          </w:p>
        </w:tc>
        <w:tc>
          <w:tcPr>
            <w:tcW w:w="6854" w:type="dxa"/>
            <w:vAlign w:val="center"/>
          </w:tcPr>
          <w:p>
            <w:pPr>
              <w:spacing w:line="360" w:lineRule="auto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  <w:szCs w:val="24"/>
              </w:rPr>
              <w:t>特定对象调研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分析师会议</w:t>
            </w:r>
          </w:p>
          <w:p>
            <w:pPr>
              <w:spacing w:line="360" w:lineRule="auto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媒体采访</w:t>
            </w:r>
            <w:r>
              <w:rPr>
                <w:rFonts w:ascii="宋体" w:hAnsi="宋体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业绩说明会</w:t>
            </w:r>
          </w:p>
          <w:p>
            <w:pPr>
              <w:spacing w:line="360" w:lineRule="auto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新闻发布会</w:t>
            </w:r>
            <w:r>
              <w:rPr>
                <w:rFonts w:ascii="宋体" w:hAnsi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路演活动</w:t>
            </w:r>
          </w:p>
          <w:p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现场参观</w:t>
            </w:r>
            <w:r>
              <w:rPr>
                <w:rFonts w:ascii="宋体"/>
                <w:bCs/>
                <w:iCs/>
                <w:sz w:val="24"/>
                <w:szCs w:val="24"/>
              </w:rPr>
              <w:tab/>
            </w:r>
          </w:p>
          <w:p>
            <w:pPr>
              <w:tabs>
                <w:tab w:val="center" w:pos="3199"/>
              </w:tabs>
              <w:spacing w:line="360" w:lineRule="auto"/>
              <w:rPr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其他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请文字说明其他活动内容）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rFonts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854" w:type="dxa"/>
            <w:vAlign w:val="center"/>
          </w:tcPr>
          <w:p>
            <w:pPr>
              <w:spacing w:line="360" w:lineRule="auto"/>
              <w:rPr>
                <w:rFonts w:hint="default" w:eastAsia="宋体"/>
                <w:bCs/>
                <w:i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/>
                <w:bCs/>
                <w:iCs/>
                <w:sz w:val="24"/>
                <w:szCs w:val="24"/>
                <w:highlight w:val="none"/>
                <w:lang w:val="en-US" w:eastAsia="zh-CN"/>
              </w:rPr>
              <w:t>兴全基金 朱喆丰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rFonts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854" w:type="dxa"/>
            <w:vAlign w:val="center"/>
          </w:tcPr>
          <w:p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201</w:t>
            </w:r>
            <w:r>
              <w:rPr>
                <w:rFonts w:hint="eastAsia"/>
                <w:bCs/>
                <w:i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Cs/>
                <w:iCs/>
                <w:sz w:val="24"/>
                <w:szCs w:val="24"/>
              </w:rPr>
              <w:t>年</w:t>
            </w:r>
            <w:r>
              <w:rPr>
                <w:rFonts w:hint="eastAsia"/>
                <w:bCs/>
                <w:i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bCs/>
                <w:iCs/>
                <w:sz w:val="24"/>
                <w:szCs w:val="24"/>
              </w:rPr>
              <w:t>月</w:t>
            </w:r>
            <w:r>
              <w:rPr>
                <w:rFonts w:hint="eastAsia"/>
                <w:bCs/>
                <w:iCs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/>
                <w:bCs/>
                <w:iCs/>
                <w:sz w:val="24"/>
                <w:szCs w:val="24"/>
              </w:rPr>
              <w:t>日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iCs/>
                <w:sz w:val="24"/>
                <w:szCs w:val="24"/>
                <w:lang w:val="en-US" w:eastAsia="zh-CN"/>
              </w:rPr>
              <w:t>10</w:t>
            </w:r>
            <w:r>
              <w:rPr>
                <w:bCs/>
                <w:iCs/>
                <w:sz w:val="24"/>
                <w:szCs w:val="24"/>
              </w:rPr>
              <w:t>:00-1</w:t>
            </w:r>
            <w:r>
              <w:rPr>
                <w:rFonts w:hint="eastAsia"/>
                <w:bCs/>
                <w:iCs/>
                <w:sz w:val="24"/>
                <w:szCs w:val="24"/>
                <w:lang w:val="en-US" w:eastAsia="zh-CN"/>
              </w:rPr>
              <w:t>2</w:t>
            </w:r>
            <w:r>
              <w:rPr>
                <w:bCs/>
                <w:iCs/>
                <w:sz w:val="24"/>
                <w:szCs w:val="24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rFonts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854" w:type="dxa"/>
            <w:vAlign w:val="center"/>
          </w:tcPr>
          <w:p>
            <w:pPr>
              <w:spacing w:line="360" w:lineRule="auto"/>
              <w:rPr>
                <w:rFonts w:hint="eastAsia" w:eastAsia="宋体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iCs/>
                <w:sz w:val="24"/>
                <w:szCs w:val="24"/>
                <w:lang w:eastAsia="zh-CN"/>
              </w:rPr>
              <w:t>公司办公室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rFonts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854" w:type="dxa"/>
            <w:vAlign w:val="center"/>
          </w:tcPr>
          <w:p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公司董事会秘书、副总经理何霞女士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480" w:lineRule="atLeast"/>
              <w:jc w:val="left"/>
              <w:rPr>
                <w:b/>
                <w:bCs/>
                <w:iCs/>
                <w:sz w:val="24"/>
                <w:szCs w:val="24"/>
              </w:rPr>
            </w:pPr>
            <w:r>
              <w:rPr>
                <w:rFonts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>
            <w:pPr>
              <w:spacing w:line="480" w:lineRule="atLeast"/>
              <w:jc w:val="left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854" w:type="dxa"/>
            <w:vAlign w:val="center"/>
          </w:tcPr>
          <w:p>
            <w:pPr>
              <w:spacing w:line="360" w:lineRule="auto"/>
              <w:ind w:firstLine="480" w:firstLineChars="200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一、签署《承诺书》</w:t>
            </w:r>
          </w:p>
          <w:p>
            <w:pPr>
              <w:spacing w:line="360" w:lineRule="auto"/>
              <w:ind w:firstLine="480" w:firstLineChars="200"/>
              <w:rPr>
                <w:rFonts w:hint="eastAsia" w:eastAsia="宋体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二、</w:t>
            </w:r>
            <w:r>
              <w:rPr>
                <w:rFonts w:hint="eastAsia"/>
                <w:bCs/>
                <w:iCs/>
                <w:sz w:val="24"/>
                <w:szCs w:val="24"/>
                <w:lang w:eastAsia="zh-CN"/>
              </w:rPr>
              <w:t>公司基本情况及可转债情况介绍</w:t>
            </w:r>
          </w:p>
          <w:p>
            <w:pPr>
              <w:spacing w:line="360" w:lineRule="auto"/>
              <w:ind w:firstLine="480" w:firstLineChars="200"/>
              <w:rPr>
                <w:rFonts w:hint="eastAsia" w:eastAsia="宋体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三、</w:t>
            </w:r>
            <w:r>
              <w:rPr>
                <w:rFonts w:hint="eastAsia"/>
                <w:bCs/>
                <w:iCs/>
                <w:sz w:val="24"/>
                <w:szCs w:val="24"/>
                <w:lang w:eastAsia="zh-CN"/>
              </w:rPr>
              <w:t>调研内容</w:t>
            </w:r>
          </w:p>
          <w:p>
            <w:pPr>
              <w:spacing w:line="360" w:lineRule="auto"/>
              <w:ind w:firstLine="482" w:firstLineChars="200"/>
              <w:rPr>
                <w:bCs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</w:t>
            </w:r>
            <w:r>
              <w:rPr>
                <w:rFonts w:hint="eastAsia"/>
                <w:b/>
                <w:iCs/>
                <w:sz w:val="24"/>
                <w:szCs w:val="24"/>
              </w:rPr>
              <w:t>、</w:t>
            </w:r>
            <w:r>
              <w:rPr>
                <w:rFonts w:hint="eastAsia"/>
                <w:b/>
                <w:iCs/>
                <w:sz w:val="24"/>
                <w:szCs w:val="24"/>
                <w:lang w:eastAsia="zh-CN"/>
              </w:rPr>
              <w:t>公司对原材料价格的展望</w:t>
            </w:r>
            <w:r>
              <w:rPr>
                <w:rFonts w:hint="eastAsia"/>
                <w:b/>
                <w:iCs/>
                <w:sz w:val="24"/>
                <w:szCs w:val="24"/>
              </w:rPr>
              <w:t>？</w:t>
            </w:r>
          </w:p>
          <w:p>
            <w:pPr>
              <w:spacing w:line="360" w:lineRule="auto"/>
              <w:ind w:firstLine="480" w:firstLineChars="200"/>
              <w:rPr>
                <w:rFonts w:hint="eastAsia" w:eastAsia="宋体"/>
                <w:b w:val="0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iCs/>
                <w:sz w:val="24"/>
                <w:szCs w:val="24"/>
                <w:lang w:eastAsia="zh-CN"/>
              </w:rPr>
              <w:t>受政策等影响，木皮类木材资源会出现阶段性价格浮动；随着环保政策趋紧，关停的不规范及不达标的企业增多，短期内会对市场形成供需失衡，价格也会出现波动。</w:t>
            </w:r>
          </w:p>
          <w:p>
            <w:pPr>
              <w:spacing w:line="360" w:lineRule="auto"/>
              <w:ind w:firstLine="482" w:firstLineChars="200"/>
              <w:rPr>
                <w:rFonts w:hint="eastAsia" w:eastAsia="宋体"/>
                <w:b/>
                <w:iCs/>
                <w:sz w:val="24"/>
                <w:szCs w:val="24"/>
                <w:lang w:eastAsia="zh-CN"/>
              </w:rPr>
            </w:pPr>
            <w:r>
              <w:rPr>
                <w:b/>
                <w:iCs/>
                <w:sz w:val="24"/>
                <w:szCs w:val="24"/>
              </w:rPr>
              <w:t>2</w:t>
            </w:r>
            <w:r>
              <w:rPr>
                <w:rFonts w:hint="eastAsia"/>
                <w:b/>
                <w:iCs/>
                <w:sz w:val="24"/>
                <w:szCs w:val="24"/>
              </w:rPr>
              <w:t>、</w:t>
            </w:r>
            <w:r>
              <w:rPr>
                <w:rFonts w:hint="eastAsia"/>
                <w:b/>
                <w:iCs/>
                <w:sz w:val="24"/>
                <w:szCs w:val="24"/>
                <w:lang w:eastAsia="zh-CN"/>
              </w:rPr>
              <w:t>地板销售业务中，工程、与地产商合作业务</w:t>
            </w:r>
            <w:r>
              <w:rPr>
                <w:rFonts w:hint="eastAsia"/>
                <w:b/>
                <w:iCs/>
                <w:sz w:val="24"/>
                <w:szCs w:val="24"/>
                <w:lang w:val="en-US" w:eastAsia="zh-CN"/>
              </w:rPr>
              <w:t>18、19年以来情况如何</w:t>
            </w:r>
            <w:r>
              <w:rPr>
                <w:rFonts w:hint="eastAsia"/>
                <w:b/>
                <w:iCs/>
                <w:sz w:val="24"/>
                <w:szCs w:val="24"/>
              </w:rPr>
              <w:t>？</w:t>
            </w:r>
            <w:r>
              <w:rPr>
                <w:rFonts w:hint="eastAsia"/>
                <w:b/>
                <w:iCs/>
                <w:sz w:val="24"/>
                <w:szCs w:val="24"/>
                <w:lang w:eastAsia="zh-CN"/>
              </w:rPr>
              <w:t>目前占比如何？</w:t>
            </w:r>
          </w:p>
          <w:p>
            <w:pPr>
              <w:spacing w:line="360" w:lineRule="auto"/>
              <w:ind w:firstLine="480" w:firstLineChars="200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  <w:lang w:eastAsia="zh-CN"/>
              </w:rPr>
              <w:t>此类业务呈现快速上升趋势，年增速在</w:t>
            </w:r>
            <w:r>
              <w:rPr>
                <w:rFonts w:hint="eastAsia"/>
                <w:bCs/>
                <w:iCs/>
                <w:sz w:val="24"/>
                <w:szCs w:val="24"/>
                <w:lang w:val="en-US" w:eastAsia="zh-CN"/>
              </w:rPr>
              <w:t>30%以上；目前在地板整体业务中占比在25%左右</w:t>
            </w:r>
            <w:r>
              <w:rPr>
                <w:rFonts w:hint="eastAsia"/>
                <w:bCs/>
                <w:iCs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82" w:firstLineChars="200"/>
              <w:rPr>
                <w:rFonts w:hint="eastAsia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iCs/>
                <w:sz w:val="24"/>
                <w:szCs w:val="24"/>
                <w:lang w:eastAsia="zh-CN"/>
              </w:rPr>
              <w:t>目前公司的门店数量？</w:t>
            </w:r>
          </w:p>
          <w:p>
            <w:pPr>
              <w:spacing w:line="360" w:lineRule="auto"/>
              <w:ind w:firstLine="480" w:firstLineChars="200"/>
              <w:rPr>
                <w:rFonts w:hint="default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iCs/>
                <w:sz w:val="24"/>
                <w:szCs w:val="24"/>
                <w:lang w:eastAsia="zh-CN"/>
              </w:rPr>
              <w:t>截止</w:t>
            </w:r>
            <w:r>
              <w:rPr>
                <w:rFonts w:hint="eastAsia"/>
                <w:bCs/>
                <w:iCs/>
                <w:sz w:val="24"/>
                <w:szCs w:val="24"/>
                <w:lang w:val="en-US" w:eastAsia="zh-CN"/>
              </w:rPr>
              <w:t>18年底，地板及百得胜门店数量超过3000家。</w:t>
            </w:r>
          </w:p>
          <w:p>
            <w:pPr>
              <w:spacing w:line="360" w:lineRule="auto"/>
              <w:ind w:firstLine="482" w:firstLineChars="200"/>
              <w:rPr>
                <w:rFonts w:hint="default" w:eastAsia="宋体"/>
                <w:b/>
                <w:iCs/>
                <w:sz w:val="24"/>
                <w:szCs w:val="24"/>
                <w:lang w:val="en-US" w:eastAsia="zh-CN"/>
              </w:rPr>
            </w:pPr>
            <w:r>
              <w:rPr>
                <w:b/>
                <w:iCs/>
                <w:sz w:val="24"/>
                <w:szCs w:val="24"/>
              </w:rPr>
              <w:t>4</w:t>
            </w:r>
            <w:r>
              <w:rPr>
                <w:rFonts w:hint="eastAsia"/>
                <w:b/>
                <w:iCs/>
                <w:sz w:val="24"/>
                <w:szCs w:val="24"/>
              </w:rPr>
              <w:t>、</w:t>
            </w:r>
            <w:r>
              <w:rPr>
                <w:rFonts w:hint="eastAsia"/>
                <w:b/>
                <w:iCs/>
                <w:sz w:val="24"/>
                <w:szCs w:val="24"/>
                <w:lang w:val="en-US" w:eastAsia="zh-CN"/>
              </w:rPr>
              <w:t>19年在经销商管理上是否有变化？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iCs/>
                <w:sz w:val="24"/>
                <w:szCs w:val="24"/>
                <w:lang w:eastAsia="zh-CN"/>
              </w:rPr>
              <w:t>地板板块的招商开店按照既定计划进行，从</w:t>
            </w:r>
            <w:r>
              <w:rPr>
                <w:rFonts w:hint="eastAsia"/>
                <w:bCs/>
                <w:iCs/>
                <w:sz w:val="24"/>
                <w:szCs w:val="24"/>
                <w:lang w:val="en-US" w:eastAsia="zh-CN"/>
              </w:rPr>
              <w:t>18年开始实行扁平化管理试点，19年按计划推进，减少中间环节、提升管理效率。</w:t>
            </w:r>
          </w:p>
          <w:p>
            <w:pPr>
              <w:spacing w:line="360" w:lineRule="auto"/>
              <w:ind w:firstLine="480" w:firstLineChars="200"/>
              <w:rPr>
                <w:rFonts w:hint="default"/>
                <w:bCs/>
                <w:i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iCs/>
                <w:sz w:val="24"/>
                <w:szCs w:val="24"/>
                <w:highlight w:val="none"/>
                <w:lang w:val="en-US" w:eastAsia="zh-CN"/>
              </w:rPr>
              <w:t>百得胜招商、筹建、老商开分店计划明确，今年布局357系打法、空间售卖、小分队管理、店面标准化等。</w:t>
            </w:r>
          </w:p>
          <w:p>
            <w:pPr>
              <w:spacing w:line="360" w:lineRule="auto"/>
              <w:ind w:firstLine="482" w:firstLineChars="200"/>
              <w:rPr>
                <w:bCs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5</w:t>
            </w:r>
            <w:r>
              <w:rPr>
                <w:rFonts w:hint="eastAsia"/>
                <w:b/>
                <w:iCs/>
                <w:sz w:val="24"/>
                <w:szCs w:val="24"/>
              </w:rPr>
              <w:t>、</w:t>
            </w:r>
            <w:r>
              <w:rPr>
                <w:rFonts w:hint="eastAsia"/>
                <w:b/>
                <w:iCs/>
                <w:sz w:val="24"/>
                <w:szCs w:val="24"/>
                <w:lang w:eastAsia="zh-CN"/>
              </w:rPr>
              <w:t>工程客户主要有哪些</w:t>
            </w:r>
            <w:r>
              <w:rPr>
                <w:rFonts w:hint="eastAsia"/>
                <w:b/>
                <w:iCs/>
                <w:sz w:val="24"/>
                <w:szCs w:val="24"/>
              </w:rPr>
              <w:t>？</w:t>
            </w:r>
          </w:p>
          <w:p>
            <w:pPr>
              <w:spacing w:line="360" w:lineRule="auto"/>
              <w:ind w:firstLine="480" w:firstLineChars="200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iCs/>
                <w:sz w:val="24"/>
                <w:szCs w:val="24"/>
                <w:lang w:eastAsia="zh-CN"/>
              </w:rPr>
              <w:t>现在主要客户有万科、保利、融创、绿地、华润、华夏幸福、旭辉、阳光城、蓝光、卓越等。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rFonts w:hint="eastAsia"/>
                <w:b/>
                <w:bCs/>
                <w:iCs/>
                <w:sz w:val="24"/>
                <w:szCs w:val="24"/>
              </w:rPr>
              <w:t>附件清单</w:t>
            </w:r>
          </w:p>
          <w:p>
            <w:pPr>
              <w:spacing w:line="36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rFonts w:hint="eastAsia"/>
                <w:b/>
                <w:bCs/>
                <w:iCs/>
                <w:sz w:val="24"/>
                <w:szCs w:val="24"/>
              </w:rPr>
              <w:t>（如有）</w:t>
            </w:r>
          </w:p>
        </w:tc>
        <w:tc>
          <w:tcPr>
            <w:tcW w:w="6854" w:type="dxa"/>
            <w:vAlign w:val="center"/>
          </w:tcPr>
          <w:p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rFonts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854" w:type="dxa"/>
            <w:vAlign w:val="center"/>
          </w:tcPr>
          <w:p>
            <w:pPr>
              <w:spacing w:line="36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201</w:t>
            </w:r>
            <w:r>
              <w:rPr>
                <w:rFonts w:hint="eastAsia"/>
                <w:bCs/>
                <w:i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Cs/>
                <w:iCs/>
                <w:sz w:val="24"/>
                <w:szCs w:val="24"/>
              </w:rPr>
              <w:t>年</w:t>
            </w:r>
            <w:r>
              <w:rPr>
                <w:rFonts w:hint="eastAsia"/>
                <w:bCs/>
                <w:i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bCs/>
                <w:iCs/>
                <w:sz w:val="24"/>
                <w:szCs w:val="24"/>
              </w:rPr>
              <w:t>月</w:t>
            </w:r>
            <w:r>
              <w:rPr>
                <w:rFonts w:hint="eastAsia"/>
                <w:bCs/>
                <w:iCs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B5802"/>
    <w:multiLevelType w:val="singleLevel"/>
    <w:tmpl w:val="431B5802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9C7295D"/>
    <w:rsid w:val="003428D5"/>
    <w:rsid w:val="009D4BD6"/>
    <w:rsid w:val="00A25C53"/>
    <w:rsid w:val="00C51982"/>
    <w:rsid w:val="00FF51BC"/>
    <w:rsid w:val="23CC6713"/>
    <w:rsid w:val="3FED5E36"/>
    <w:rsid w:val="450507A8"/>
    <w:rsid w:val="462F2E97"/>
    <w:rsid w:val="48C16F9E"/>
    <w:rsid w:val="49C7295D"/>
    <w:rsid w:val="609C581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186</Words>
  <Characters>1065</Characters>
  <Lines>0</Lines>
  <Paragraphs>0</Paragraphs>
  <TotalTime>57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Constantine</cp:lastModifiedBy>
  <dcterms:created xsi:type="dcterms:W3CDTF">2018-11-10T05:31:00Z</dcterms:created>
  <dcterms:modified xsi:type="dcterms:W3CDTF">2019-05-23T06:19:26Z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