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color w:val="808080"/>
        </w:rPr>
      </w:pPr>
      <w:r>
        <w:rPr>
          <w:rFonts w:hint="eastAsia" w:ascii="宋体" w:hAnsi="宋体" w:cs="宋体"/>
          <w:color w:val="808080"/>
          <w:kern w:val="0"/>
          <w:szCs w:val="21"/>
        </w:rPr>
        <w:t xml:space="preserve"> 证券代码：300297                                            证券简称：蓝盾股份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kern w:val="0"/>
          <w:sz w:val="28"/>
          <w:szCs w:val="21"/>
        </w:rPr>
      </w:pPr>
      <w:r>
        <w:rPr>
          <w:rFonts w:hint="eastAsia" w:ascii="宋体" w:hAnsi="宋体" w:cs="宋体"/>
          <w:b/>
          <w:bCs/>
          <w:kern w:val="0"/>
          <w:sz w:val="28"/>
          <w:szCs w:val="21"/>
        </w:rPr>
        <w:t>蓝盾信息安全技术</w:t>
      </w:r>
      <w:r>
        <w:rPr>
          <w:rFonts w:ascii="宋体" w:hAnsi="宋体" w:cs="宋体"/>
          <w:b/>
          <w:bCs/>
          <w:kern w:val="0"/>
          <w:sz w:val="28"/>
          <w:szCs w:val="21"/>
        </w:rPr>
        <w:t>股份有限公司投资者关系活动记录表</w:t>
      </w:r>
    </w:p>
    <w:tbl>
      <w:tblPr>
        <w:tblStyle w:val="4"/>
        <w:tblW w:w="9203" w:type="dxa"/>
        <w:jc w:val="center"/>
        <w:tblCellSpacing w:w="0" w:type="dxa"/>
        <w:tblInd w:w="-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7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投资者关系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活动类别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□特定对象调研       □分析师会议</w:t>
            </w:r>
          </w:p>
          <w:p>
            <w:pPr>
              <w:widowControl/>
              <w:spacing w:before="100" w:beforeAutospacing="1" w:after="100" w:afterAutospacing="1"/>
              <w:ind w:firstLine="120" w:firstLineChars="5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□现场参观         □业绩说明会</w:t>
            </w:r>
          </w:p>
          <w:p>
            <w:pPr>
              <w:widowControl/>
              <w:spacing w:before="100" w:beforeAutospacing="1" w:after="100" w:afterAutospacing="1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□新闻发布会        □路演活动</w:t>
            </w:r>
          </w:p>
          <w:p>
            <w:pPr>
              <w:widowControl/>
              <w:spacing w:before="100" w:beforeAutospacing="1" w:after="100" w:afterAutospacing="1"/>
              <w:ind w:left="3719" w:leftChars="114" w:hanging="3480" w:hangingChars="14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□媒体采访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（2019广东上市公司投资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者关系管理月活动—现场交流会）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白云基金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南晓龙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中涛基金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梁培斌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海蓝宝基金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黄新宇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华阳众惠基金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付强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广发证券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李思奇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中信证券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谢立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海通证券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陈乐斌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华林证券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王喆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第一创业证券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谢海平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金色阳光资产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殷君</w:t>
            </w:r>
          </w:p>
          <w:p>
            <w:pPr>
              <w:widowControl/>
              <w:spacing w:before="100" w:beforeAutospacing="1" w:after="100" w:afterAutospacing="1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匀丰资产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郑泽万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博普资产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陈力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承天传富资产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李建锋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大兴华旗资产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谭丽霞</w:t>
            </w:r>
          </w:p>
          <w:p>
            <w:pPr>
              <w:widowControl/>
              <w:spacing w:before="100" w:beforeAutospacing="1" w:after="100" w:afterAutospacing="1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万燕资产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時承録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尚东金服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张倩</w:t>
            </w:r>
          </w:p>
          <w:p>
            <w:pPr>
              <w:widowControl/>
              <w:spacing w:before="100" w:beforeAutospacing="1" w:after="100" w:afterAutospacing="1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长江资本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王琰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君泽资本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廖朝辉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高维投资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张宾杰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璞一投资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陈俊伟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博赢财富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沈欣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:30-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佛山希尔顿花园酒店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1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董事会秘书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李德桂</w:t>
            </w:r>
          </w:p>
          <w:p>
            <w:pPr>
              <w:widowControl/>
              <w:spacing w:before="100" w:beforeAutospacing="1" w:after="100" w:afterAutospacing="1"/>
              <w:ind w:firstLine="241" w:firstLineChars="100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证券事务代表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林振邦</w:t>
            </w:r>
          </w:p>
          <w:p>
            <w:pPr>
              <w:widowControl/>
              <w:spacing w:before="100" w:beforeAutospacing="1" w:after="100" w:afterAutospacing="1"/>
              <w:ind w:firstLine="241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投资者关系主管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黄美华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投资者关系活动主要内容介绍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ind w:firstLine="482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投资者关心的问题及回答如下：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研发投入情况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研发人员占比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答：</w:t>
            </w:r>
            <w:r>
              <w:rPr>
                <w:rFonts w:hint="eastAsia" w:ascii="宋体" w:hAnsi="宋体" w:cs="宋体"/>
                <w:sz w:val="24"/>
                <w:szCs w:val="24"/>
                <w:lang w:val="zh-CN" w:eastAsia="zh-CN"/>
              </w:rPr>
              <w:t>公司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2018年研发投入金额为2.50亿元，占营业收入的10.93%，研发人员占公司总人数的31.84%。主要投入研发产品包括“蓝盾云”管理平台、基于容器技术的蓝盾APT高级持续攻击检测分析平台、基于自主国密芯片的云安全身份认证系统、蓝盾安全堡垒机、蓝盾隔离网闸、“蓝盾云”运维平台、蓝盾高密度安全虚机、基于大数据技术的网络安全态势感知与协同防护平台、蓝盾安全云桌面系统等产品的研发及产业化。截至2018年末，公司及主要子公司共拥有专利116项，软件著作权795项；其中新增专利34项，新增软件著作权138项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公司去年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有哪些研发成果？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答：公司去年在实现了全线产品的人工智能化、全面提升安全检测能力和响应速度的基础上，重点进行了云安全产品的升级和创新。目前已</w:t>
            </w:r>
            <w:r>
              <w:rPr>
                <w:rFonts w:hint="eastAsia" w:ascii="宋体" w:hAnsi="宋体" w:cs="宋体"/>
                <w:sz w:val="24"/>
                <w:szCs w:val="24"/>
              </w:rPr>
              <w:t>形成云监测、云桌面、安全云平台（云防线）、云管理、虚拟化（云）安全、容器云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sz w:val="24"/>
                <w:szCs w:val="24"/>
              </w:rPr>
              <w:t>一系列云安全产品。同时，公司通过整合内嵌多种AI引擎安全防护产品，从IAAS层的基础云计算、云存储和云桌面等，到PAAS层的八大虚拟安全产品，再到SAAS层的云防线、云监测等服务，探索出了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行业独特的</w:t>
            </w:r>
            <w:r>
              <w:rPr>
                <w:rFonts w:hint="eastAsia" w:ascii="宋体" w:hAnsi="宋体" w:cs="宋体"/>
                <w:sz w:val="24"/>
                <w:szCs w:val="24"/>
              </w:rPr>
              <w:t>云安全运营服务的业务模式。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公司认为行业市场空间有多大？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答：近年来，在各种安全事件频繁爆发以及《网络安全法》、等保2.0等政策的推动下，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带来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增量扩容和存量改造需求，有望驱动网络安全行业景气向上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。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我国网络安全行业处于发展期，市场规模保持较快增长。为满足网络安全强化的需求及网络强国战略的推进建设，我国网络安全产业将持续提升安全防护的创新技术，增强综合网络安全的保障能力。根据赛迪顾问的测算，2018年我国网络安全市场规模为495.2  亿元，同比增长20.9%，远高于全球市场的平均增速。同时，随着各项网络安全政策法规的逐步完善，以及国家和企业组织对网络安全的重视程度不断提升，对网络安全的投资逐渐增加，赛迪顾问预计未来三年我国网络安全市场仍将会保持20%以上的高速增长，到2021年市场规模可超过900亿元，并随着5G和人工智能技术发展不断增长，网络安全、数据安全等相关市场将进入快速发展期。</w:t>
            </w:r>
          </w:p>
          <w:p>
            <w:pPr>
              <w:numPr>
                <w:numId w:val="0"/>
              </w:numPr>
              <w:tabs>
                <w:tab w:val="left" w:pos="830"/>
              </w:tabs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公司未来发展重心聚焦于哪些方面？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答：公司将继续秉承“智慧安全领导者”的理念与使命，长期专注于信息安全领域，尤其是云安全、工控安全、车联网安全、基础设施安全等细分市场，持续推进“云战略”，并聚力实现全线安全产品的国产化替代。通过持续改善和优化技术研究体系、产品开发体系、市场营销体系、服务支撑体系和组织管理体系，继续巩固并提升公司在行业内的市场份额和品牌形象。未来，公司将积极构建更完整的“大安全”产业发展战略及“军民融合”发展态势，力争成为国内龙头、国际一流的信息安全企业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公司今年要加速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推进国产化安全应用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？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答：是的，这是公司今年要重点推进的工作之一。今年，公司将持续推进安全产品的国产化，对全线安全产品进行国产化自主可控的硬件和软件环境的适配，并联合上下游合作伙伴，从芯片到操作系统到数据库再到应用软件，实现真正意义上的国产、自主、可控，有效保护信息数据的安全。具体产品计划上，公司将跟进自主可控大趋势，推出基于国产化平台的安全产品，并打造适配国产化硬件平台的安全网关。同时还将加强保密行业产品国产化替代，升级终端保密检查系统使其支持对国产化终端、云终端跨平台等的检查工作。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卖得比较好的产品有哪些？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答：公司去年卖得比较好的产品有防火墙、入侵检测、漏洞扫描、数据库防御、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VPN、云安全类、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审计类、网关类、保密类、运维管理类等产品，这些基本占到安全产品总收入的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60%，其中云安全产品销量取得了显著增长，带动了安全产品整体销量的增量。除了单独销售产品外，公司的解决方案里绝大部分也都运用了自有的网络安全产品。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附件清单（如有）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7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p/>
    <w:p/>
    <w:p/>
    <w:sectPr>
      <w:headerReference r:id="rId3" w:type="default"/>
      <w:pgSz w:w="11906" w:h="16838"/>
      <w:pgMar w:top="1440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3430A"/>
    <w:multiLevelType w:val="singleLevel"/>
    <w:tmpl w:val="EFE343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6233"/>
    <w:rsid w:val="01F8706D"/>
    <w:rsid w:val="03254FF0"/>
    <w:rsid w:val="04AF5C64"/>
    <w:rsid w:val="083C768B"/>
    <w:rsid w:val="08994343"/>
    <w:rsid w:val="092136C1"/>
    <w:rsid w:val="0D341FC9"/>
    <w:rsid w:val="0EDE5C22"/>
    <w:rsid w:val="0F0B0B92"/>
    <w:rsid w:val="0F2B4B46"/>
    <w:rsid w:val="0FA05774"/>
    <w:rsid w:val="0FE47E66"/>
    <w:rsid w:val="10322585"/>
    <w:rsid w:val="138F66DB"/>
    <w:rsid w:val="1E8B20D7"/>
    <w:rsid w:val="25194703"/>
    <w:rsid w:val="26381A56"/>
    <w:rsid w:val="28A21655"/>
    <w:rsid w:val="294B4020"/>
    <w:rsid w:val="2F913F00"/>
    <w:rsid w:val="305A6107"/>
    <w:rsid w:val="307C7A69"/>
    <w:rsid w:val="311C4A72"/>
    <w:rsid w:val="323A4C4F"/>
    <w:rsid w:val="37BD33B9"/>
    <w:rsid w:val="38995892"/>
    <w:rsid w:val="38B92A1A"/>
    <w:rsid w:val="3932063D"/>
    <w:rsid w:val="3B5508CD"/>
    <w:rsid w:val="3C222A5B"/>
    <w:rsid w:val="3FFD5C60"/>
    <w:rsid w:val="41E07074"/>
    <w:rsid w:val="43B84C41"/>
    <w:rsid w:val="4561719E"/>
    <w:rsid w:val="4635763C"/>
    <w:rsid w:val="4B397CD8"/>
    <w:rsid w:val="4D2E7FA0"/>
    <w:rsid w:val="4DA32715"/>
    <w:rsid w:val="50EA69A3"/>
    <w:rsid w:val="5141024D"/>
    <w:rsid w:val="53A6396E"/>
    <w:rsid w:val="54F81A32"/>
    <w:rsid w:val="57107396"/>
    <w:rsid w:val="57596233"/>
    <w:rsid w:val="58CD0D75"/>
    <w:rsid w:val="5DDB3A4C"/>
    <w:rsid w:val="5F073E31"/>
    <w:rsid w:val="656F46C0"/>
    <w:rsid w:val="68710F3A"/>
    <w:rsid w:val="6BFA6C69"/>
    <w:rsid w:val="6D2A1141"/>
    <w:rsid w:val="6E1B1D33"/>
    <w:rsid w:val="702E1F30"/>
    <w:rsid w:val="70FD563D"/>
    <w:rsid w:val="74F63A49"/>
    <w:rsid w:val="75A31D9A"/>
    <w:rsid w:val="76973C02"/>
    <w:rsid w:val="78B84F9C"/>
    <w:rsid w:val="7A380778"/>
    <w:rsid w:val="7BBB2F11"/>
    <w:rsid w:val="7C7C2D78"/>
    <w:rsid w:val="7C9D5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2019-05-23T06:54:00Z</dcterms:created>
  <dc:creator>奋斗青年</dc:creator>
  <cp:lastModifiedBy>奋斗青年</cp:lastModifiedBy>
  <dcterms:modified xsi:type="dcterms:W3CDTF">2019-05-24T10:00:56Z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