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证券代码：002123</w:t>
      </w:r>
      <w:r>
        <w:rPr>
          <w:rFonts w:hint="eastAsia" w:ascii="宋体" w:hAnsi="宋体"/>
          <w:bCs/>
          <w:iCs/>
          <w:color w:val="000000"/>
          <w:sz w:val="24"/>
          <w:lang w:val="en-US" w:eastAsia="zh-CN"/>
        </w:rPr>
        <w:t xml:space="preserve">                                   </w:t>
      </w:r>
      <w:r>
        <w:rPr>
          <w:rFonts w:hint="eastAsia" w:ascii="宋体" w:hAnsi="宋体"/>
          <w:bCs/>
          <w:iCs/>
          <w:color w:val="000000"/>
          <w:sz w:val="24"/>
        </w:rPr>
        <w:t>证券简称：梦网</w:t>
      </w:r>
      <w:r>
        <w:rPr>
          <w:rFonts w:ascii="宋体" w:hAnsi="宋体"/>
          <w:bCs/>
          <w:iCs/>
          <w:color w:val="000000"/>
          <w:sz w:val="24"/>
        </w:rPr>
        <w:t>集团</w:t>
      </w:r>
    </w:p>
    <w:p>
      <w:pPr>
        <w:spacing w:before="156" w:beforeLines="50" w:after="156" w:afterLines="50" w:line="400" w:lineRule="exact"/>
        <w:ind w:firstLine="720" w:firstLineChars="300"/>
        <w:rPr>
          <w:rFonts w:ascii="宋体" w:hAnsi="宋体"/>
          <w:bCs/>
          <w:iCs/>
          <w:color w:val="000000"/>
          <w:sz w:val="24"/>
        </w:rPr>
      </w:pPr>
    </w:p>
    <w:p>
      <w:pPr>
        <w:spacing w:before="156" w:beforeLines="50" w:after="156" w:afterLines="50" w:line="400" w:lineRule="exact"/>
        <w:jc w:val="center"/>
        <w:rPr>
          <w:rFonts w:ascii="黑体" w:hAnsi="黑体" w:eastAsia="黑体"/>
          <w:b/>
          <w:bCs/>
          <w:iCs/>
          <w:color w:val="000000"/>
          <w:sz w:val="32"/>
          <w:szCs w:val="32"/>
        </w:rPr>
      </w:pPr>
      <w:r>
        <w:rPr>
          <w:rFonts w:hint="eastAsia" w:ascii="黑体" w:hAnsi="黑体" w:eastAsia="黑体"/>
          <w:b/>
          <w:bCs/>
          <w:iCs/>
          <w:color w:val="000000"/>
          <w:sz w:val="32"/>
          <w:szCs w:val="32"/>
        </w:rPr>
        <w:t>梦网荣信科技集团股份有限公司投资者关系活动记录表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编号：2019-</w:t>
      </w:r>
      <w:r>
        <w:rPr>
          <w:rFonts w:ascii="宋体" w:hAnsi="宋体"/>
          <w:bCs/>
          <w:iCs/>
          <w:color w:val="000000"/>
          <w:sz w:val="24"/>
        </w:rPr>
        <w:t>5</w:t>
      </w:r>
      <w:r>
        <w:rPr>
          <w:rFonts w:hint="eastAsia" w:ascii="宋体" w:hAnsi="宋体"/>
          <w:bCs/>
          <w:iCs/>
          <w:color w:val="000000"/>
          <w:sz w:val="24"/>
        </w:rPr>
        <w:t>-</w:t>
      </w:r>
      <w:r>
        <w:rPr>
          <w:rFonts w:ascii="宋体" w:hAnsi="宋体"/>
          <w:bCs/>
          <w:iCs/>
          <w:color w:val="000000"/>
          <w:sz w:val="24"/>
        </w:rPr>
        <w:t>28</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7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9" w:type="dxa"/>
            <w:vAlign w:val="center"/>
          </w:tcPr>
          <w:p>
            <w:pPr>
              <w:spacing w:line="280" w:lineRule="exact"/>
              <w:jc w:val="center"/>
              <w:rPr>
                <w:rFonts w:ascii="黑体" w:hAnsi="黑体" w:eastAsia="黑体"/>
                <w:b/>
                <w:bCs/>
                <w:iCs/>
                <w:color w:val="000000"/>
              </w:rPr>
            </w:pPr>
            <w:r>
              <w:rPr>
                <w:rFonts w:hint="eastAsia" w:ascii="黑体" w:hAnsi="黑体" w:eastAsia="黑体"/>
                <w:b/>
                <w:bCs/>
                <w:iCs/>
                <w:color w:val="000000"/>
              </w:rPr>
              <w:t>投资者关系活动类别</w:t>
            </w:r>
          </w:p>
        </w:tc>
        <w:tc>
          <w:tcPr>
            <w:tcW w:w="7364" w:type="dxa"/>
          </w:tcPr>
          <w:p>
            <w:pPr>
              <w:spacing w:line="34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特定对象调研        </w:t>
            </w:r>
            <w:r>
              <w:rPr>
                <w:rFonts w:hint="eastAsia" w:ascii="宋体" w:hAnsi="宋体"/>
                <w:bCs/>
                <w:iCs/>
                <w:color w:val="000000"/>
                <w:sz w:val="24"/>
              </w:rPr>
              <w:t>□</w:t>
            </w:r>
            <w:r>
              <w:rPr>
                <w:rFonts w:hint="eastAsia" w:ascii="宋体" w:hAnsi="宋体"/>
                <w:sz w:val="24"/>
              </w:rPr>
              <w:t>分析师会议</w:t>
            </w:r>
          </w:p>
          <w:p>
            <w:pPr>
              <w:spacing w:line="34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hint="eastAsia" w:ascii="宋体" w:hAnsi="宋体"/>
                <w:bCs/>
                <w:iCs/>
                <w:color w:val="000000"/>
                <w:sz w:val="24"/>
              </w:rPr>
              <w:t>□</w:t>
            </w:r>
            <w:r>
              <w:rPr>
                <w:rFonts w:hint="eastAsia" w:ascii="宋体" w:hAnsi="宋体"/>
                <w:sz w:val="24"/>
              </w:rPr>
              <w:t>业绩说明会</w:t>
            </w:r>
          </w:p>
          <w:p>
            <w:pPr>
              <w:spacing w:line="34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新闻发布会          </w:t>
            </w:r>
            <w:r>
              <w:rPr>
                <w:rFonts w:hint="eastAsia" w:ascii="宋体" w:hAnsi="宋体"/>
                <w:bCs/>
                <w:iCs/>
                <w:color w:val="000000"/>
                <w:sz w:val="24"/>
              </w:rPr>
              <w:t>□</w:t>
            </w:r>
            <w:r>
              <w:rPr>
                <w:rFonts w:hint="eastAsia" w:ascii="宋体" w:hAnsi="宋体"/>
                <w:sz w:val="24"/>
              </w:rPr>
              <w:t>路演活动</w:t>
            </w:r>
          </w:p>
          <w:p>
            <w:pPr>
              <w:tabs>
                <w:tab w:val="left" w:pos="3045"/>
                <w:tab w:val="center" w:pos="3199"/>
              </w:tabs>
              <w:spacing w:line="34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现场参观</w:t>
            </w:r>
            <w:r>
              <w:rPr>
                <w:rFonts w:ascii="宋体" w:hAnsi="宋体"/>
                <w:bCs/>
                <w:iCs/>
                <w:color w:val="000000"/>
                <w:sz w:val="24"/>
              </w:rPr>
              <w:tab/>
            </w:r>
          </w:p>
          <w:p>
            <w:pPr>
              <w:tabs>
                <w:tab w:val="center" w:pos="3199"/>
              </w:tabs>
              <w:spacing w:line="340" w:lineRule="exac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其他 </w:t>
            </w:r>
            <w:r>
              <w:rPr>
                <w:rFonts w:hint="eastAsia" w:ascii="宋体" w:hAnsi="宋体"/>
                <w:sz w:val="24"/>
                <w:u w:val="single"/>
              </w:rPr>
              <w:t>（投资者现场交流会）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249" w:type="dxa"/>
            <w:vAlign w:val="center"/>
          </w:tcPr>
          <w:p>
            <w:pPr>
              <w:spacing w:line="280" w:lineRule="exact"/>
              <w:jc w:val="center"/>
              <w:rPr>
                <w:rFonts w:ascii="黑体" w:hAnsi="黑体" w:eastAsia="黑体"/>
                <w:b/>
                <w:bCs/>
                <w:iCs/>
                <w:color w:val="000000"/>
              </w:rPr>
            </w:pPr>
            <w:r>
              <w:rPr>
                <w:rFonts w:hint="eastAsia" w:ascii="黑体" w:hAnsi="黑体" w:eastAsia="黑体"/>
                <w:b/>
                <w:bCs/>
                <w:iCs/>
                <w:color w:val="000000"/>
              </w:rPr>
              <w:t>参与单位名称及人员姓名</w:t>
            </w:r>
          </w:p>
        </w:tc>
        <w:tc>
          <w:tcPr>
            <w:tcW w:w="7364" w:type="dxa"/>
          </w:tcPr>
          <w:p>
            <w:pPr>
              <w:rPr>
                <w:rFonts w:ascii="宋体" w:hAnsi="宋体"/>
                <w:sz w:val="24"/>
              </w:rPr>
            </w:pPr>
            <w:r>
              <w:rPr>
                <w:rFonts w:hint="eastAsia" w:ascii="宋体" w:hAnsi="宋体"/>
                <w:sz w:val="24"/>
              </w:rPr>
              <w:t>金信基金管理有限公司；深圳恒锐资本管理有限公司；上海华汯资产管理有限公司；深圳市富果投资管理有限公司；深圳前海动善时投资有限公司；深圳名正控股有限公司；上海华汯资产管理有限公司；华龙证券有限责任公司；广州荣卓资产管理有限公司；深圳市林奇投资有限公司；光大永明资产管理股份有限公司；北京永瑞财富投资管理有限公司；厦门普尔投资管理有限责任公司；广州中卓投资有限公司；北京永瑞财富投资管理有限公司；</w:t>
            </w:r>
            <w:r>
              <w:rPr>
                <w:rFonts w:hint="eastAsia" w:ascii="宋体" w:hAnsi="宋体" w:eastAsia="宋体" w:cs="Times New Roman"/>
                <w:i w:val="0"/>
                <w:caps w:val="0"/>
                <w:spacing w:val="0"/>
                <w:sz w:val="24"/>
                <w:szCs w:val="24"/>
                <w:shd w:val="clear"/>
              </w:rPr>
              <w:t>宝盈基金管理有限公司</w:t>
            </w:r>
            <w:r>
              <w:rPr>
                <w:rFonts w:hint="eastAsia" w:ascii="宋体" w:hAnsi="宋体"/>
                <w:sz w:val="24"/>
                <w:lang w:eastAsia="zh-CN"/>
              </w:rPr>
              <w:t>；</w:t>
            </w:r>
            <w:r>
              <w:rPr>
                <w:rFonts w:hint="eastAsia" w:ascii="宋体" w:hAnsi="宋体" w:eastAsia="宋体" w:cs="Times New Roman"/>
                <w:i w:val="0"/>
                <w:caps w:val="0"/>
                <w:spacing w:val="0"/>
                <w:sz w:val="24"/>
                <w:szCs w:val="24"/>
                <w:shd w:val="clear"/>
              </w:rPr>
              <w:t>摩根士丹利华鑫基金管理有限公司</w:t>
            </w:r>
            <w:r>
              <w:rPr>
                <w:rFonts w:hint="eastAsia" w:ascii="宋体" w:hAnsi="宋体" w:cs="Times New Roman"/>
                <w:i w:val="0"/>
                <w:caps w:val="0"/>
                <w:spacing w:val="0"/>
                <w:sz w:val="24"/>
                <w:szCs w:val="24"/>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9" w:type="dxa"/>
            <w:vAlign w:val="center"/>
          </w:tcPr>
          <w:p>
            <w:pPr>
              <w:spacing w:line="300" w:lineRule="exact"/>
              <w:jc w:val="center"/>
              <w:rPr>
                <w:rFonts w:ascii="黑体" w:hAnsi="黑体" w:eastAsia="黑体" w:cs="宋体"/>
                <w:b/>
                <w:kern w:val="0"/>
                <w:szCs w:val="21"/>
              </w:rPr>
            </w:pPr>
            <w:r>
              <w:rPr>
                <w:rFonts w:hint="eastAsia" w:ascii="黑体" w:hAnsi="黑体" w:eastAsia="黑体" w:cs="宋体"/>
                <w:b/>
                <w:kern w:val="0"/>
                <w:szCs w:val="21"/>
              </w:rPr>
              <w:t>时间</w:t>
            </w:r>
          </w:p>
        </w:tc>
        <w:tc>
          <w:tcPr>
            <w:tcW w:w="7364" w:type="dxa"/>
          </w:tcPr>
          <w:p>
            <w:pPr>
              <w:spacing w:after="62" w:afterLines="20" w:line="320" w:lineRule="exact"/>
              <w:rPr>
                <w:rFonts w:ascii="宋体" w:hAnsi="宋体"/>
                <w:sz w:val="24"/>
              </w:rPr>
            </w:pPr>
            <w:r>
              <w:rPr>
                <w:rFonts w:hint="eastAsia" w:ascii="宋体" w:hAnsi="宋体"/>
                <w:sz w:val="24"/>
              </w:rPr>
              <w:t>201</w:t>
            </w:r>
            <w:r>
              <w:rPr>
                <w:rFonts w:ascii="宋体" w:hAnsi="宋体"/>
                <w:sz w:val="24"/>
              </w:rPr>
              <w:t>9</w:t>
            </w:r>
            <w:r>
              <w:rPr>
                <w:rFonts w:hint="eastAsia" w:ascii="宋体" w:hAnsi="宋体"/>
                <w:sz w:val="24"/>
              </w:rPr>
              <w:t>年</w:t>
            </w:r>
            <w:r>
              <w:rPr>
                <w:rFonts w:ascii="宋体" w:hAnsi="宋体"/>
                <w:sz w:val="24"/>
              </w:rPr>
              <w:t>5</w:t>
            </w:r>
            <w:r>
              <w:rPr>
                <w:rFonts w:hint="eastAsia" w:ascii="宋体" w:hAnsi="宋体"/>
                <w:sz w:val="24"/>
              </w:rPr>
              <w:t>月28日</w:t>
            </w:r>
            <w:r>
              <w:rPr>
                <w:rFonts w:ascii="宋体" w:hAnsi="宋体"/>
                <w:sz w:val="24"/>
              </w:rPr>
              <w:t>13</w:t>
            </w:r>
            <w:r>
              <w:rPr>
                <w:rFonts w:hint="eastAsia" w:ascii="宋体" w:hAnsi="宋体"/>
                <w:sz w:val="24"/>
              </w:rPr>
              <w:t>:</w:t>
            </w:r>
            <w:r>
              <w:rPr>
                <w:rFonts w:ascii="宋体" w:hAnsi="宋体"/>
                <w:sz w:val="24"/>
              </w:rPr>
              <w:t>3</w:t>
            </w:r>
            <w:r>
              <w:rPr>
                <w:rFonts w:hint="eastAsia" w:ascii="宋体" w:hAnsi="宋体"/>
                <w:sz w:val="24"/>
              </w:rPr>
              <w:t>0</w:t>
            </w:r>
            <w:r>
              <w:rPr>
                <w:rFonts w:ascii="宋体" w:hAnsi="宋体"/>
                <w:sz w:val="24"/>
              </w:rPr>
              <w:t>~16</w:t>
            </w:r>
            <w:r>
              <w:rPr>
                <w:rFonts w:hint="eastAsia" w:ascii="宋体" w:hAnsi="宋体"/>
                <w:sz w:val="24"/>
              </w:rPr>
              <w:t>:</w:t>
            </w:r>
            <w:r>
              <w:rPr>
                <w:rFonts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9" w:type="dxa"/>
            <w:vAlign w:val="center"/>
          </w:tcPr>
          <w:p>
            <w:pPr>
              <w:spacing w:line="280" w:lineRule="exact"/>
              <w:jc w:val="center"/>
              <w:rPr>
                <w:rFonts w:ascii="黑体" w:hAnsi="黑体" w:eastAsia="黑体"/>
                <w:b/>
                <w:bCs/>
                <w:iCs/>
                <w:color w:val="000000"/>
              </w:rPr>
            </w:pPr>
            <w:r>
              <w:rPr>
                <w:rFonts w:hint="eastAsia" w:ascii="黑体" w:hAnsi="黑体" w:eastAsia="黑体"/>
                <w:b/>
                <w:bCs/>
                <w:iCs/>
                <w:color w:val="000000"/>
              </w:rPr>
              <w:t>地点</w:t>
            </w:r>
          </w:p>
        </w:tc>
        <w:tc>
          <w:tcPr>
            <w:tcW w:w="7364" w:type="dxa"/>
          </w:tcPr>
          <w:p>
            <w:pPr>
              <w:spacing w:after="62" w:afterLines="20" w:line="320" w:lineRule="exact"/>
              <w:rPr>
                <w:rFonts w:ascii="宋体" w:hAnsi="宋体"/>
                <w:sz w:val="24"/>
              </w:rPr>
            </w:pPr>
            <w:r>
              <w:rPr>
                <w:rFonts w:hint="eastAsia" w:ascii="宋体" w:hAnsi="宋体"/>
                <w:sz w:val="24"/>
              </w:rPr>
              <w:t>广东省深圳市南山区高新中四道3</w:t>
            </w:r>
            <w:r>
              <w:rPr>
                <w:rFonts w:ascii="宋体" w:hAnsi="宋体"/>
                <w:sz w:val="24"/>
              </w:rPr>
              <w:t>0</w:t>
            </w:r>
            <w:r>
              <w:rPr>
                <w:rFonts w:hint="eastAsia" w:ascii="宋体" w:hAnsi="宋体"/>
                <w:sz w:val="24"/>
              </w:rPr>
              <w:t>号龙泰利大厦</w:t>
            </w:r>
            <w:r>
              <w:rPr>
                <w:rFonts w:hint="eastAsia" w:ascii="宋体" w:hAnsi="宋体"/>
                <w:sz w:val="24"/>
                <w:lang w:val="en-US" w:eastAsia="zh-CN"/>
              </w:rPr>
              <w:t>5</w:t>
            </w:r>
            <w:r>
              <w:rPr>
                <w:rFonts w:hint="eastAsia" w:ascii="宋体" w:hAnsi="宋体"/>
                <w:sz w:val="24"/>
              </w:rPr>
              <w:t>层会议室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9" w:type="dxa"/>
            <w:vAlign w:val="center"/>
          </w:tcPr>
          <w:p>
            <w:pPr>
              <w:spacing w:line="280" w:lineRule="exact"/>
              <w:jc w:val="center"/>
              <w:rPr>
                <w:rFonts w:ascii="黑体" w:hAnsi="黑体" w:eastAsia="黑体"/>
                <w:b/>
                <w:bCs/>
                <w:iCs/>
                <w:color w:val="000000"/>
              </w:rPr>
            </w:pPr>
            <w:r>
              <w:rPr>
                <w:rFonts w:hint="eastAsia" w:ascii="黑体" w:hAnsi="黑体" w:eastAsia="黑体"/>
                <w:b/>
                <w:bCs/>
                <w:iCs/>
                <w:color w:val="000000"/>
              </w:rPr>
              <w:t>上市公司接待人员姓名</w:t>
            </w:r>
          </w:p>
        </w:tc>
        <w:tc>
          <w:tcPr>
            <w:tcW w:w="7364" w:type="dxa"/>
            <w:vAlign w:val="center"/>
          </w:tcPr>
          <w:p>
            <w:pPr>
              <w:spacing w:after="62" w:afterLines="20" w:line="320" w:lineRule="exact"/>
              <w:rPr>
                <w:rFonts w:ascii="宋体" w:hAnsi="宋体"/>
                <w:sz w:val="24"/>
              </w:rPr>
            </w:pPr>
            <w:r>
              <w:rPr>
                <w:rFonts w:hint="eastAsia" w:ascii="宋体" w:hAnsi="宋体"/>
                <w:sz w:val="24"/>
              </w:rPr>
              <w:t>梦网集团董事长</w:t>
            </w:r>
            <w:r>
              <w:rPr>
                <w:rFonts w:ascii="宋体" w:hAnsi="宋体"/>
                <w:sz w:val="24"/>
              </w:rPr>
              <w:t>兼总裁余文胜</w:t>
            </w:r>
            <w:r>
              <w:rPr>
                <w:rFonts w:hint="eastAsia" w:ascii="宋体" w:hAnsi="宋体"/>
                <w:sz w:val="24"/>
              </w:rPr>
              <w:t>先生</w:t>
            </w:r>
            <w:r>
              <w:rPr>
                <w:rFonts w:ascii="宋体" w:hAnsi="宋体"/>
                <w:sz w:val="24"/>
              </w:rPr>
              <w:t>、</w:t>
            </w:r>
            <w:r>
              <w:rPr>
                <w:rFonts w:hint="eastAsia" w:ascii="宋体" w:hAnsi="宋体"/>
                <w:sz w:val="24"/>
              </w:rPr>
              <w:t>副总裁</w:t>
            </w:r>
            <w:r>
              <w:rPr>
                <w:rFonts w:ascii="宋体" w:hAnsi="宋体"/>
                <w:sz w:val="24"/>
              </w:rPr>
              <w:t>兼董事会秘书</w:t>
            </w:r>
            <w:r>
              <w:rPr>
                <w:rFonts w:hint="eastAsia" w:ascii="宋体" w:hAnsi="宋体"/>
                <w:sz w:val="24"/>
              </w:rPr>
              <w:t>朱雯雯女士、</w:t>
            </w:r>
            <w:r>
              <w:rPr>
                <w:rFonts w:hint="eastAsia" w:ascii="宋体" w:hAnsi="宋体"/>
                <w:sz w:val="24"/>
                <w:highlight w:val="none"/>
              </w:rPr>
              <w:t>CMO</w:t>
            </w:r>
            <w:r>
              <w:rPr>
                <w:rFonts w:ascii="宋体" w:hAnsi="宋体"/>
                <w:sz w:val="24"/>
                <w:highlight w:val="none"/>
              </w:rPr>
              <w:t>黄昭轮</w:t>
            </w:r>
            <w:r>
              <w:rPr>
                <w:rFonts w:hint="eastAsia" w:ascii="宋体" w:hAnsi="宋体"/>
                <w:sz w:val="24"/>
                <w:highlight w:val="none"/>
              </w:rPr>
              <w:t>先生</w:t>
            </w:r>
            <w:r>
              <w:rPr>
                <w:rFonts w:ascii="宋体" w:hAnsi="宋体"/>
                <w:sz w:val="24"/>
                <w:highlight w:val="none"/>
              </w:rPr>
              <w:t>、</w:t>
            </w:r>
            <w:r>
              <w:rPr>
                <w:rFonts w:hint="eastAsia" w:ascii="宋体" w:hAnsi="宋体"/>
                <w:sz w:val="24"/>
                <w:highlight w:val="none"/>
              </w:rPr>
              <w:t>产品战略规划及预研总经理</w:t>
            </w:r>
            <w:r>
              <w:rPr>
                <w:rFonts w:ascii="宋体" w:hAnsi="宋体"/>
                <w:sz w:val="24"/>
                <w:highlight w:val="none"/>
              </w:rPr>
              <w:t>饶</w:t>
            </w:r>
            <w:r>
              <w:rPr>
                <w:rFonts w:hint="eastAsia" w:ascii="宋体" w:hAnsi="宋体"/>
                <w:sz w:val="24"/>
                <w:highlight w:val="none"/>
              </w:rPr>
              <w:t>冠</w:t>
            </w:r>
            <w:r>
              <w:rPr>
                <w:rFonts w:ascii="宋体" w:hAnsi="宋体"/>
                <w:sz w:val="24"/>
                <w:highlight w:val="none"/>
              </w:rPr>
              <w:t>旗先生、</w:t>
            </w:r>
            <w:r>
              <w:rPr>
                <w:rFonts w:hint="eastAsia" w:ascii="宋体" w:hAnsi="宋体"/>
                <w:sz w:val="24"/>
              </w:rPr>
              <w:t>市场</w:t>
            </w:r>
            <w:r>
              <w:rPr>
                <w:rFonts w:ascii="宋体" w:hAnsi="宋体"/>
                <w:sz w:val="24"/>
              </w:rPr>
              <w:t>总监张长林先生</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249" w:type="dxa"/>
            <w:vAlign w:val="center"/>
          </w:tcPr>
          <w:p>
            <w:pPr>
              <w:spacing w:line="280" w:lineRule="exact"/>
              <w:jc w:val="center"/>
              <w:rPr>
                <w:rFonts w:ascii="黑体" w:hAnsi="黑体" w:eastAsia="黑体"/>
                <w:b/>
                <w:bCs/>
                <w:iCs/>
                <w:color w:val="000000"/>
              </w:rPr>
            </w:pPr>
            <w:r>
              <w:rPr>
                <w:rFonts w:hint="eastAsia" w:ascii="黑体" w:hAnsi="黑体" w:eastAsia="黑体"/>
                <w:b/>
                <w:bCs/>
                <w:iCs/>
                <w:color w:val="000000"/>
              </w:rPr>
              <w:t>投资者关系活动主要内容介绍</w:t>
            </w:r>
          </w:p>
        </w:tc>
        <w:tc>
          <w:tcPr>
            <w:tcW w:w="7364" w:type="dxa"/>
          </w:tcPr>
          <w:p>
            <w:pPr>
              <w:spacing w:after="156" w:afterLines="50" w:line="40" w:lineRule="exact"/>
              <w:rPr>
                <w:sz w:val="24"/>
              </w:rPr>
            </w:pPr>
          </w:p>
          <w:p>
            <w:pPr>
              <w:spacing w:after="156" w:afterLines="50" w:line="280" w:lineRule="exact"/>
              <w:jc w:val="center"/>
              <w:rPr>
                <w:b/>
                <w:sz w:val="28"/>
              </w:rPr>
            </w:pPr>
            <w:r>
              <w:rPr>
                <w:rFonts w:hint="eastAsia"/>
                <w:b/>
                <w:sz w:val="28"/>
              </w:rPr>
              <w:t>第一部分梦网集团接待人员介绍环节</w:t>
            </w:r>
          </w:p>
          <w:p>
            <w:pPr>
              <w:spacing w:after="156" w:afterLines="50" w:line="280" w:lineRule="exact"/>
              <w:rPr>
                <w:b/>
                <w:sz w:val="24"/>
              </w:rPr>
            </w:pPr>
            <w:r>
              <w:rPr>
                <w:rFonts w:hint="eastAsia"/>
                <w:b/>
                <w:sz w:val="24"/>
              </w:rPr>
              <w:t>董事长兼总裁余文胜先生发言：</w:t>
            </w:r>
          </w:p>
          <w:p>
            <w:pPr>
              <w:spacing w:line="280" w:lineRule="exact"/>
              <w:ind w:firstLine="480" w:firstLineChars="200"/>
              <w:rPr>
                <w:sz w:val="24"/>
              </w:rPr>
            </w:pPr>
            <w:r>
              <w:rPr>
                <w:rFonts w:hint="eastAsia"/>
                <w:sz w:val="24"/>
              </w:rPr>
              <w:t>梦网之前一直做企业短信平台业务，在中国拥有最大规模的</w:t>
            </w:r>
            <w:r>
              <w:rPr>
                <w:rFonts w:hint="eastAsia"/>
                <w:sz w:val="24"/>
                <w:lang w:val="en-US" w:eastAsia="zh-CN"/>
              </w:rPr>
              <w:t>业务量和</w:t>
            </w:r>
            <w:r>
              <w:rPr>
                <w:rFonts w:hint="eastAsia"/>
                <w:sz w:val="24"/>
              </w:rPr>
              <w:t>用户群，全国企业短信市场增速去年达到14%，今年一季度是17%以上。企业短信实现了B2C的良好沟通。企业短信和微信两个根本的不同点：一、企业短信是一个开放的通信系统，而微信是封闭的通信系统，企业短信只要有手机号就可以发送信息沟通，而微信必须先添加对方才可以实现沟通；二、企业短信有效性更高，具有法律效力，也更符合正式的、商务的需求。我相信在未来三到五年，企业短信市场还是会有比较可观的增长速度。各个企业会有自身用户数量的增长，应用还会不断增加，另外政府及公用事业单位也会有更大的需求。</w:t>
            </w:r>
          </w:p>
          <w:p>
            <w:pPr>
              <w:spacing w:line="280" w:lineRule="exact"/>
              <w:ind w:firstLine="480" w:firstLineChars="200"/>
              <w:rPr>
                <w:sz w:val="24"/>
              </w:rPr>
            </w:pPr>
            <w:r>
              <w:rPr>
                <w:rFonts w:hint="eastAsia"/>
                <w:sz w:val="24"/>
              </w:rPr>
              <w:t>梦网连接着海量的用户。Twilio公司201</w:t>
            </w:r>
            <w:r>
              <w:rPr>
                <w:sz w:val="24"/>
              </w:rPr>
              <w:t>6</w:t>
            </w:r>
            <w:r>
              <w:rPr>
                <w:rFonts w:hint="eastAsia"/>
                <w:sz w:val="24"/>
              </w:rPr>
              <w:t>年上市，当时我看到华尔街有报道把它描述为“美国的梦网科技”。梦网和T</w:t>
            </w:r>
            <w:r>
              <w:rPr>
                <w:rFonts w:hint="eastAsia"/>
                <w:sz w:val="24"/>
                <w:lang w:val="en-US" w:eastAsia="zh-CN"/>
              </w:rPr>
              <w:t>wilio</w:t>
            </w:r>
            <w:r>
              <w:rPr>
                <w:rFonts w:hint="eastAsia"/>
                <w:sz w:val="24"/>
              </w:rPr>
              <w:t>都是做企业通信聚合平台的，梦网从短信出发，扩展到其他通信，T</w:t>
            </w:r>
            <w:r>
              <w:rPr>
                <w:rFonts w:hint="eastAsia"/>
                <w:sz w:val="24"/>
                <w:lang w:val="en-US" w:eastAsia="zh-CN"/>
              </w:rPr>
              <w:t>wilio</w:t>
            </w:r>
            <w:r>
              <w:rPr>
                <w:rFonts w:hint="eastAsia"/>
                <w:sz w:val="24"/>
              </w:rPr>
              <w:t>从语音出发，扩展到其他通信，说实话Twilio做的确实很好，他们做得最好的一块是语音业务，</w:t>
            </w:r>
            <w:r>
              <w:rPr>
                <w:sz w:val="24"/>
              </w:rPr>
              <w:t>Twilio</w:t>
            </w:r>
            <w:r>
              <w:rPr>
                <w:rFonts w:hint="eastAsia"/>
                <w:sz w:val="24"/>
              </w:rPr>
              <w:t>拥有</w:t>
            </w:r>
            <w:r>
              <w:rPr>
                <w:sz w:val="24"/>
              </w:rPr>
              <w:t>VOIP</w:t>
            </w:r>
            <w:r>
              <w:rPr>
                <w:rFonts w:hint="eastAsia"/>
                <w:sz w:val="24"/>
              </w:rPr>
              <w:t>语音，可以将国际语音的资费降低，Twilio之前没有企业短信，现在也有了，而梦网比较欠缺的就是语音方面。</w:t>
            </w:r>
            <w:r>
              <w:rPr>
                <w:rFonts w:hint="eastAsia"/>
                <w:sz w:val="24"/>
                <w:lang w:val="en-US" w:eastAsia="zh-CN"/>
              </w:rPr>
              <w:t>但</w:t>
            </w:r>
            <w:r>
              <w:rPr>
                <w:rFonts w:hint="eastAsia"/>
                <w:sz w:val="24"/>
              </w:rPr>
              <w:t>两者发展的不同</w:t>
            </w:r>
            <w:r>
              <w:rPr>
                <w:rFonts w:hint="eastAsia"/>
                <w:sz w:val="24"/>
                <w:lang w:val="en-US" w:eastAsia="zh-CN"/>
              </w:rPr>
              <w:t>也</w:t>
            </w:r>
            <w:r>
              <w:rPr>
                <w:rFonts w:hint="eastAsia"/>
                <w:sz w:val="24"/>
              </w:rPr>
              <w:t>是因为我们植根于不同的市场环境。梦网为什么这么多年没有做语音的原因说白了还是感觉没什么利润，并且语音业务信息安全监管的原因经常出现语音行业波动。而A股市场还是比较注重上市公司的盈利能力，所以梦网对于盈利能力不明确的业务没有过多布局。当然未来不排除会进一步布局语音板块，健全通信能力，当前从视频云走向视讯云就是一个努力。</w:t>
            </w:r>
          </w:p>
          <w:p>
            <w:pPr>
              <w:spacing w:line="280" w:lineRule="exact"/>
              <w:ind w:firstLine="480" w:firstLineChars="200"/>
              <w:rPr>
                <w:sz w:val="24"/>
              </w:rPr>
            </w:pPr>
            <w:r>
              <w:rPr>
                <w:rFonts w:hint="eastAsia"/>
                <w:sz w:val="24"/>
              </w:rPr>
              <w:t>所以我们现在还是先布局视频服务。我们17年收购的梦网百科有非常领先的视频技术，也陆续推出了云播等基于视频云技术的一些产品。通常移动视频有三个重要应用：直播、点播、互动。所有的视频网站都属于点播</w:t>
            </w:r>
            <w:r>
              <w:rPr>
                <w:rFonts w:hint="eastAsia"/>
                <w:sz w:val="24"/>
                <w:lang w:eastAsia="zh-CN"/>
              </w:rPr>
              <w:t>；</w:t>
            </w:r>
            <w:r>
              <w:rPr>
                <w:rFonts w:hint="eastAsia"/>
                <w:sz w:val="24"/>
              </w:rPr>
              <w:t>直播就是我们云播现在提供的服务，现场把视频实时传到云端进而并发给大量终端用户；互动就是类似视频通话。目前云播的宣传力度并没有很大，但是用户数也已经有几万个。我们会进一步加强它的功能，学习ZOOM的推广模式，使它的用户数可以自然而然地不断扩大，而不是需要靠直销人员对于这遍地碎银的市场花大气力去推销。视讯云今年新推出的“十分秀”产品，它可以让企业用户很简便的在十分钟内把一个H5页面做出来，里面有非常丰富多彩的视频和图片，而并不需要专门的技术人员设计制作。目前还有个新产品大家可以期待一下，它是一款比较突破性创新的视频互动产品，正在研发之中，目前已经实现了在苹果手机上的通信能力，安卓还需时日。</w:t>
            </w:r>
          </w:p>
          <w:p>
            <w:pPr>
              <w:spacing w:line="280" w:lineRule="exact"/>
              <w:ind w:firstLine="480" w:firstLineChars="200"/>
              <w:rPr>
                <w:sz w:val="24"/>
              </w:rPr>
            </w:pPr>
            <w:r>
              <w:rPr>
                <w:rFonts w:hint="eastAsia"/>
                <w:sz w:val="24"/>
              </w:rPr>
              <w:t>物联方面，待5G技术落地之后，今后会有更广阔的应用和市场，目前物联业务已经每月有近百万的盈利。另外梦网还有基于区块链的防手机诈骗应用，可以实现短信查真伪。这两项业务未来都有比较好的前景</w:t>
            </w:r>
          </w:p>
          <w:p>
            <w:pPr>
              <w:spacing w:line="280" w:lineRule="exact"/>
              <w:ind w:firstLine="480" w:firstLineChars="200"/>
              <w:rPr>
                <w:sz w:val="24"/>
              </w:rPr>
            </w:pPr>
            <w:r>
              <w:rPr>
                <w:rFonts w:hint="eastAsia"/>
                <w:sz w:val="24"/>
              </w:rPr>
              <w:t>需要跟大家重点报告的是，当前梦网主要做的是RCStoB业务</w:t>
            </w:r>
            <w:r>
              <w:rPr>
                <w:rFonts w:hint="eastAsia"/>
                <w:sz w:val="24"/>
                <w:lang w:eastAsia="zh-CN"/>
              </w:rPr>
              <w:t>，</w:t>
            </w:r>
            <w:r>
              <w:rPr>
                <w:rFonts w:hint="eastAsia"/>
                <w:sz w:val="24"/>
              </w:rPr>
              <w:t>即RBM业务，我们正在着力升级企业短信到富媒体信息。企业短信还是具有缺陷的，其单一且不能互动，而富媒体通信能够改善客户的用户体验，效果很好，带来的客户转化率要更高，它是一款强大的通信工具，是一个新奇的传媒，进而是一个丰富的应用，我们现在要做的就是引导这个行业从企业短信走向企业富信。富媒体能够扩宽5倍的短信市场，随着我们和合作伙伴的合作深入，大家将看见自己的手机信箱逐步发生变化，变得丰富多彩起来，富信发展是满足政府和企业需求的，将会帮助客户提升商业效率，构建新的价值。</w:t>
            </w:r>
          </w:p>
          <w:p>
            <w:pPr>
              <w:spacing w:before="156" w:beforeLines="50" w:after="156" w:afterLines="50" w:line="280" w:lineRule="exact"/>
              <w:jc w:val="center"/>
              <w:rPr>
                <w:b/>
                <w:sz w:val="28"/>
              </w:rPr>
            </w:pPr>
            <w:r>
              <w:rPr>
                <w:rFonts w:hint="eastAsia"/>
                <w:b/>
                <w:sz w:val="28"/>
              </w:rPr>
              <w:t>第二部分投资者交流环节</w:t>
            </w:r>
          </w:p>
          <w:p>
            <w:pPr>
              <w:spacing w:after="156" w:afterLines="50" w:line="280" w:lineRule="exact"/>
              <w:rPr>
                <w:sz w:val="24"/>
              </w:rPr>
            </w:pPr>
            <w:r>
              <w:rPr>
                <w:rFonts w:hint="eastAsia"/>
                <w:sz w:val="24"/>
              </w:rPr>
              <w:t>问：富信的竞争壁垒在哪里，运营商的定价是按照条数来定价吗？</w:t>
            </w:r>
          </w:p>
          <w:p>
            <w:pPr>
              <w:spacing w:after="156" w:afterLines="50" w:line="280" w:lineRule="exact"/>
              <w:rPr>
                <w:sz w:val="24"/>
              </w:rPr>
            </w:pPr>
            <w:r>
              <w:rPr>
                <w:rFonts w:hint="eastAsia"/>
                <w:sz w:val="24"/>
              </w:rPr>
              <w:t>答：一</w:t>
            </w:r>
            <w:r>
              <w:rPr>
                <w:sz w:val="24"/>
              </w:rPr>
              <w:t>是</w:t>
            </w:r>
            <w:r>
              <w:rPr>
                <w:rFonts w:hint="eastAsia"/>
                <w:sz w:val="24"/>
              </w:rPr>
              <w:t>技术壁垒，梦网投入了大量资金和人员来进行研发，普通的小公司很难具备这种实力，至少需要一年以上的研发努力，包括我们刚提到的领先的视讯技术，可以使我们的富信搭载更长更清晰的视频内容；二是和手机厂商的合作，信息的发送从信息安全监管层面来讲是非常严格的，运营商考虑到安全性更倾向长期合作信任的企业。定价目前是由梦网自己来定的。</w:t>
            </w:r>
          </w:p>
          <w:p>
            <w:pPr>
              <w:spacing w:after="156" w:afterLines="50" w:line="280" w:lineRule="exact"/>
              <w:rPr>
                <w:sz w:val="24"/>
              </w:rPr>
            </w:pPr>
          </w:p>
          <w:p>
            <w:pPr>
              <w:spacing w:after="156" w:afterLines="50" w:line="280" w:lineRule="exact"/>
              <w:rPr>
                <w:sz w:val="24"/>
              </w:rPr>
            </w:pPr>
            <w:r>
              <w:rPr>
                <w:rFonts w:hint="eastAsia"/>
                <w:sz w:val="24"/>
              </w:rPr>
              <w:t>问：富信跟彩信比起来有什么区别？短信跟富信单条来说成本会有多大的差距？</w:t>
            </w:r>
          </w:p>
          <w:p>
            <w:pPr>
              <w:spacing w:after="156" w:afterLines="50" w:line="280" w:lineRule="exact"/>
              <w:rPr>
                <w:rFonts w:hint="eastAsia" w:eastAsia="宋体"/>
                <w:sz w:val="24"/>
                <w:lang w:eastAsia="zh-CN"/>
              </w:rPr>
            </w:pPr>
            <w:r>
              <w:rPr>
                <w:rFonts w:hint="eastAsia"/>
                <w:sz w:val="24"/>
              </w:rPr>
              <w:t>答：彩信一是容量有限制，一般不超过100K，富信可以到2M</w:t>
            </w:r>
            <w:r>
              <w:rPr>
                <w:rFonts w:hint="eastAsia"/>
                <w:sz w:val="24"/>
                <w:lang w:eastAsia="zh-CN"/>
              </w:rPr>
              <w:t>，</w:t>
            </w:r>
            <w:r>
              <w:rPr>
                <w:rFonts w:hint="eastAsia"/>
                <w:sz w:val="24"/>
              </w:rPr>
              <w:t>另外</w:t>
            </w:r>
            <w:r>
              <w:rPr>
                <w:sz w:val="24"/>
              </w:rPr>
              <w:t>就是</w:t>
            </w:r>
            <w:r>
              <w:rPr>
                <w:rFonts w:hint="eastAsia"/>
                <w:sz w:val="24"/>
              </w:rPr>
              <w:t>用户接收下载不了体验不好，那么富信正好解决这些痛点。从市场反馈来看目前能感受到企业客户有对于短信的升级换代的需求，短信跟富信的差价在5-8倍。2015年手机号实名制之后企业短信与通讯有了飞速的发展，市场愈发广阔。而到现在最尖端的当然是5G技术，以后更大程度上是能力的突破，连接的终端越来越多，沟通的内容越来越丰富，需要给客户创造更大的附加价值</w:t>
            </w:r>
            <w:r>
              <w:rPr>
                <w:rFonts w:hint="eastAsia"/>
                <w:sz w:val="24"/>
                <w:lang w:eastAsia="zh-CN"/>
              </w:rPr>
              <w:t>，</w:t>
            </w:r>
            <w:r>
              <w:rPr>
                <w:rFonts w:hint="eastAsia"/>
                <w:sz w:val="24"/>
              </w:rPr>
              <w:t>这是通信发展的第三第四阶段</w:t>
            </w:r>
            <w:r>
              <w:rPr>
                <w:rFonts w:hint="eastAsia"/>
                <w:sz w:val="24"/>
                <w:lang w:eastAsia="zh-CN"/>
              </w:rPr>
              <w:t>。</w:t>
            </w:r>
          </w:p>
          <w:p>
            <w:pPr>
              <w:spacing w:after="156" w:afterLines="50" w:line="280" w:lineRule="exact"/>
              <w:rPr>
                <w:sz w:val="24"/>
              </w:rPr>
            </w:pPr>
          </w:p>
          <w:p>
            <w:pPr>
              <w:spacing w:after="156" w:afterLines="50" w:line="280" w:lineRule="exact"/>
              <w:rPr>
                <w:sz w:val="24"/>
              </w:rPr>
            </w:pPr>
            <w:r>
              <w:rPr>
                <w:rFonts w:hint="eastAsia"/>
                <w:sz w:val="24"/>
              </w:rPr>
              <w:t>问：富信未来的渗透率表现会呈现一个怎样的曲线，营收成长和渗透率存在的关系是怎么样，未来我要查找以往信息时候，是否方便？</w:t>
            </w:r>
          </w:p>
          <w:p>
            <w:pPr>
              <w:spacing w:after="156" w:afterLines="50" w:line="280" w:lineRule="exact"/>
              <w:rPr>
                <w:sz w:val="24"/>
              </w:rPr>
            </w:pPr>
            <w:r>
              <w:rPr>
                <w:rFonts w:hint="eastAsia"/>
                <w:sz w:val="24"/>
              </w:rPr>
              <w:t>答：富信替代短信，是从高端开始替代的。但对于利薄量大的企业短信来说，还是一个慢慢接受的过程，富信的营销转化率是短信的2-</w:t>
            </w:r>
            <w:r>
              <w:rPr>
                <w:sz w:val="24"/>
              </w:rPr>
              <w:t>3</w:t>
            </w:r>
            <w:r>
              <w:rPr>
                <w:rFonts w:hint="eastAsia"/>
                <w:sz w:val="24"/>
              </w:rPr>
              <w:t>倍，虽其价格是普通短信的5倍以上，但对企业来讲这种转化率是对比富信增长的那点成本也还是很值得的。当企业和政府部门等B端客户认识到富信的价值，以及后期富信成本的逐渐下降，富信替代短信是必然的趋势。未来富信也将可以在云盘储存，就可以方便用户查找了。</w:t>
            </w:r>
          </w:p>
          <w:p>
            <w:pPr>
              <w:spacing w:after="156" w:afterLines="50" w:line="280" w:lineRule="exact"/>
              <w:rPr>
                <w:sz w:val="24"/>
              </w:rPr>
            </w:pPr>
          </w:p>
          <w:p>
            <w:pPr>
              <w:spacing w:after="156" w:afterLines="50" w:line="280" w:lineRule="exact"/>
              <w:rPr>
                <w:sz w:val="24"/>
              </w:rPr>
            </w:pPr>
            <w:r>
              <w:rPr>
                <w:rFonts w:hint="eastAsia"/>
                <w:sz w:val="24"/>
              </w:rPr>
              <w:t>问：信息过滤这一块如何发展呢，是否符合监管要求呢？</w:t>
            </w:r>
          </w:p>
          <w:p>
            <w:pPr>
              <w:spacing w:after="156" w:afterLines="50" w:line="280" w:lineRule="exact"/>
              <w:rPr>
                <w:sz w:val="24"/>
              </w:rPr>
            </w:pPr>
            <w:r>
              <w:rPr>
                <w:rFonts w:hint="eastAsia"/>
                <w:sz w:val="24"/>
              </w:rPr>
              <w:t>答：梦网非常重视信息安全，富信管理将严格遵守国家各项安全管理规则，在信安管控方面梦网积累了丰富的管理经验，富信不仅会很谨慎的过滤信息安全机制，尤其群发要使用模板并且进行审核，实际上是非常安全的。</w:t>
            </w:r>
          </w:p>
          <w:p>
            <w:pPr>
              <w:spacing w:after="156" w:afterLines="50" w:line="280" w:lineRule="exact"/>
              <w:rPr>
                <w:sz w:val="24"/>
              </w:rPr>
            </w:pPr>
          </w:p>
          <w:p>
            <w:pPr>
              <w:spacing w:after="156" w:afterLines="50" w:line="280" w:lineRule="exact"/>
              <w:rPr>
                <w:sz w:val="24"/>
              </w:rPr>
            </w:pPr>
            <w:r>
              <w:rPr>
                <w:rFonts w:hint="eastAsia"/>
                <w:sz w:val="24"/>
              </w:rPr>
              <w:t>问：对于普通用户来说，富信的可信度是怎样的呢？</w:t>
            </w:r>
          </w:p>
          <w:p>
            <w:pPr>
              <w:spacing w:after="156" w:afterLines="50" w:line="280" w:lineRule="exact"/>
              <w:rPr>
                <w:sz w:val="24"/>
              </w:rPr>
            </w:pPr>
            <w:r>
              <w:rPr>
                <w:rFonts w:hint="eastAsia"/>
                <w:sz w:val="24"/>
              </w:rPr>
              <w:t>答：对于可信度的提升是需要一个过程的，但梦网的行业渗透率还是很高的，慢慢大家就会了解并理解它的价值和魅力，进一步喜欢它，也许需要两三年的时间，可信度提升是大的发展方向。</w:t>
            </w:r>
          </w:p>
          <w:p>
            <w:pPr>
              <w:spacing w:after="156" w:afterLines="50" w:line="280" w:lineRule="exact"/>
              <w:rPr>
                <w:sz w:val="24"/>
              </w:rPr>
            </w:pPr>
          </w:p>
          <w:p>
            <w:pPr>
              <w:spacing w:after="156" w:afterLines="50" w:line="280" w:lineRule="exact"/>
              <w:rPr>
                <w:sz w:val="24"/>
              </w:rPr>
            </w:pPr>
            <w:r>
              <w:rPr>
                <w:rFonts w:hint="eastAsia"/>
                <w:sz w:val="24"/>
              </w:rPr>
              <w:t>问：5月</w:t>
            </w:r>
            <w:r>
              <w:rPr>
                <w:sz w:val="24"/>
              </w:rPr>
              <w:t>13</w:t>
            </w:r>
            <w:r>
              <w:rPr>
                <w:rFonts w:hint="eastAsia"/>
                <w:sz w:val="24"/>
              </w:rPr>
              <w:t>号国家发布了信息安全等级保护，1</w:t>
            </w:r>
            <w:r>
              <w:rPr>
                <w:sz w:val="24"/>
              </w:rPr>
              <w:t>2</w:t>
            </w:r>
            <w:r>
              <w:rPr>
                <w:rFonts w:hint="eastAsia"/>
                <w:sz w:val="24"/>
              </w:rPr>
              <w:t>月1日将生效，梦网在这块需不需要进行认证？</w:t>
            </w:r>
          </w:p>
          <w:p>
            <w:pPr>
              <w:spacing w:after="156" w:afterLines="50" w:line="280" w:lineRule="exact"/>
              <w:rPr>
                <w:sz w:val="24"/>
              </w:rPr>
            </w:pPr>
            <w:r>
              <w:rPr>
                <w:rFonts w:hint="eastAsia"/>
                <w:sz w:val="24"/>
              </w:rPr>
              <w:t>答</w:t>
            </w:r>
            <w:r>
              <w:rPr>
                <w:sz w:val="24"/>
              </w:rPr>
              <w:t>：</w:t>
            </w:r>
            <w:r>
              <w:rPr>
                <w:rFonts w:hint="eastAsia"/>
                <w:sz w:val="24"/>
              </w:rPr>
              <w:t>我们</w:t>
            </w:r>
            <w:r>
              <w:rPr>
                <w:rFonts w:hint="eastAsia"/>
                <w:sz w:val="24"/>
                <w:lang w:val="en-US" w:eastAsia="zh-CN"/>
              </w:rPr>
              <w:t>申请了两个主流的信息安全体系认证，ISO27001和信息安全等级保护认证，后期新的信息安全认证我们也将按照国家法规提起申请，</w:t>
            </w:r>
            <w:r>
              <w:rPr>
                <w:rFonts w:hint="eastAsia"/>
                <w:sz w:val="24"/>
              </w:rPr>
              <w:t>我们在此方面</w:t>
            </w:r>
            <w:r>
              <w:rPr>
                <w:rFonts w:hint="eastAsia"/>
                <w:sz w:val="24"/>
                <w:lang w:val="en-US" w:eastAsia="zh-CN"/>
              </w:rPr>
              <w:t>是</w:t>
            </w:r>
            <w:r>
              <w:rPr>
                <w:rFonts w:hint="eastAsia"/>
                <w:sz w:val="24"/>
              </w:rPr>
              <w:t>有完整的机制。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9" w:type="dxa"/>
            <w:vAlign w:val="center"/>
          </w:tcPr>
          <w:p>
            <w:pPr>
              <w:spacing w:line="280" w:lineRule="exact"/>
              <w:rPr>
                <w:rFonts w:ascii="宋体" w:hAnsi="宋体"/>
                <w:b/>
                <w:bCs/>
                <w:iCs/>
                <w:color w:val="000000"/>
                <w:sz w:val="24"/>
              </w:rPr>
            </w:pPr>
            <w:r>
              <w:rPr>
                <w:rFonts w:hint="eastAsia" w:ascii="宋体" w:hAnsi="宋体"/>
                <w:b/>
                <w:bCs/>
                <w:iCs/>
                <w:color w:val="000000"/>
                <w:sz w:val="24"/>
              </w:rPr>
              <w:t>附件清单（如有）</w:t>
            </w:r>
          </w:p>
        </w:tc>
        <w:tc>
          <w:tcPr>
            <w:tcW w:w="7364" w:type="dxa"/>
            <w:vAlign w:val="center"/>
          </w:tcPr>
          <w:p>
            <w:pPr>
              <w:spacing w:line="300" w:lineRule="exac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9" w:type="dxa"/>
            <w:vAlign w:val="center"/>
          </w:tcPr>
          <w:p>
            <w:pPr>
              <w:spacing w:line="280" w:lineRule="exact"/>
              <w:rPr>
                <w:rFonts w:ascii="宋体" w:hAnsi="宋体"/>
                <w:b/>
                <w:bCs/>
                <w:iCs/>
                <w:color w:val="000000"/>
                <w:sz w:val="24"/>
              </w:rPr>
            </w:pPr>
            <w:r>
              <w:rPr>
                <w:rFonts w:hint="eastAsia" w:ascii="宋体" w:hAnsi="宋体"/>
                <w:b/>
                <w:bCs/>
                <w:iCs/>
                <w:color w:val="000000"/>
                <w:sz w:val="24"/>
              </w:rPr>
              <w:t>日期</w:t>
            </w:r>
          </w:p>
        </w:tc>
        <w:tc>
          <w:tcPr>
            <w:tcW w:w="7364" w:type="dxa"/>
          </w:tcPr>
          <w:p>
            <w:pPr>
              <w:spacing w:line="300" w:lineRule="exact"/>
              <w:rPr>
                <w:rFonts w:ascii="宋体" w:hAnsi="宋体"/>
                <w:sz w:val="24"/>
              </w:rPr>
            </w:pPr>
            <w:r>
              <w:rPr>
                <w:rFonts w:hint="eastAsia" w:ascii="宋体" w:hAnsi="宋体"/>
                <w:sz w:val="24"/>
              </w:rPr>
              <w:t>201</w:t>
            </w:r>
            <w:r>
              <w:rPr>
                <w:rFonts w:ascii="宋体" w:hAnsi="宋体"/>
                <w:sz w:val="24"/>
              </w:rPr>
              <w:t>9</w:t>
            </w:r>
            <w:r>
              <w:rPr>
                <w:rFonts w:hint="eastAsia" w:ascii="宋体" w:hAnsi="宋体"/>
                <w:sz w:val="24"/>
              </w:rPr>
              <w:t>年</w:t>
            </w:r>
            <w:r>
              <w:rPr>
                <w:rFonts w:ascii="宋体" w:hAnsi="宋体"/>
                <w:sz w:val="24"/>
              </w:rPr>
              <w:t>5</w:t>
            </w:r>
            <w:r>
              <w:rPr>
                <w:rFonts w:hint="eastAsia" w:ascii="宋体" w:hAnsi="宋体"/>
                <w:sz w:val="24"/>
              </w:rPr>
              <w:t>月2</w:t>
            </w:r>
            <w:r>
              <w:rPr>
                <w:rFonts w:ascii="宋体" w:hAnsi="宋体"/>
                <w:sz w:val="24"/>
              </w:rPr>
              <w:t>8</w:t>
            </w:r>
            <w:r>
              <w:rPr>
                <w:rFonts w:hint="eastAsia" w:ascii="宋体" w:hAnsi="宋体"/>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3C5"/>
    <w:rsid w:val="00003357"/>
    <w:rsid w:val="00004760"/>
    <w:rsid w:val="000072BE"/>
    <w:rsid w:val="00012AF5"/>
    <w:rsid w:val="00013052"/>
    <w:rsid w:val="000156CB"/>
    <w:rsid w:val="00017B0F"/>
    <w:rsid w:val="000205B6"/>
    <w:rsid w:val="00023387"/>
    <w:rsid w:val="00027654"/>
    <w:rsid w:val="000308FB"/>
    <w:rsid w:val="000421A1"/>
    <w:rsid w:val="00042313"/>
    <w:rsid w:val="000447B8"/>
    <w:rsid w:val="00047914"/>
    <w:rsid w:val="00052C4D"/>
    <w:rsid w:val="000545D8"/>
    <w:rsid w:val="00054D5D"/>
    <w:rsid w:val="000620CB"/>
    <w:rsid w:val="00064661"/>
    <w:rsid w:val="00066D4C"/>
    <w:rsid w:val="000715D8"/>
    <w:rsid w:val="00085468"/>
    <w:rsid w:val="00094E8C"/>
    <w:rsid w:val="000975C2"/>
    <w:rsid w:val="000A121F"/>
    <w:rsid w:val="000A1D13"/>
    <w:rsid w:val="000B170D"/>
    <w:rsid w:val="000B33A7"/>
    <w:rsid w:val="000B7FF6"/>
    <w:rsid w:val="000C5243"/>
    <w:rsid w:val="000D2DE6"/>
    <w:rsid w:val="000D3645"/>
    <w:rsid w:val="000D4589"/>
    <w:rsid w:val="000D4B16"/>
    <w:rsid w:val="000E600D"/>
    <w:rsid w:val="00102289"/>
    <w:rsid w:val="00112957"/>
    <w:rsid w:val="001238A4"/>
    <w:rsid w:val="00131F76"/>
    <w:rsid w:val="00142C78"/>
    <w:rsid w:val="001700F5"/>
    <w:rsid w:val="00170C0F"/>
    <w:rsid w:val="001827CE"/>
    <w:rsid w:val="00194F68"/>
    <w:rsid w:val="001A344D"/>
    <w:rsid w:val="001A3CFC"/>
    <w:rsid w:val="001A556E"/>
    <w:rsid w:val="001B0170"/>
    <w:rsid w:val="001B104E"/>
    <w:rsid w:val="001B5FDF"/>
    <w:rsid w:val="001E2C36"/>
    <w:rsid w:val="001E3F1D"/>
    <w:rsid w:val="001E605D"/>
    <w:rsid w:val="001F1C3C"/>
    <w:rsid w:val="001F4456"/>
    <w:rsid w:val="001F5A81"/>
    <w:rsid w:val="00200065"/>
    <w:rsid w:val="00203AA3"/>
    <w:rsid w:val="0020490B"/>
    <w:rsid w:val="00207DAE"/>
    <w:rsid w:val="002147D2"/>
    <w:rsid w:val="002153B6"/>
    <w:rsid w:val="00222168"/>
    <w:rsid w:val="00226EB0"/>
    <w:rsid w:val="002329AC"/>
    <w:rsid w:val="002550BD"/>
    <w:rsid w:val="00255A62"/>
    <w:rsid w:val="0026307F"/>
    <w:rsid w:val="002636FF"/>
    <w:rsid w:val="00264420"/>
    <w:rsid w:val="00273E0F"/>
    <w:rsid w:val="00280CDC"/>
    <w:rsid w:val="00282736"/>
    <w:rsid w:val="00285053"/>
    <w:rsid w:val="00294050"/>
    <w:rsid w:val="00295B5C"/>
    <w:rsid w:val="00297683"/>
    <w:rsid w:val="002A29BA"/>
    <w:rsid w:val="002B7949"/>
    <w:rsid w:val="002C40C0"/>
    <w:rsid w:val="002C6467"/>
    <w:rsid w:val="002D2691"/>
    <w:rsid w:val="002E64A5"/>
    <w:rsid w:val="002F1201"/>
    <w:rsid w:val="0031763E"/>
    <w:rsid w:val="00322628"/>
    <w:rsid w:val="003253FD"/>
    <w:rsid w:val="00330102"/>
    <w:rsid w:val="0033447C"/>
    <w:rsid w:val="0033557A"/>
    <w:rsid w:val="003431A6"/>
    <w:rsid w:val="00343540"/>
    <w:rsid w:val="0034412D"/>
    <w:rsid w:val="00345EED"/>
    <w:rsid w:val="00362566"/>
    <w:rsid w:val="00383AD2"/>
    <w:rsid w:val="00393073"/>
    <w:rsid w:val="00395B14"/>
    <w:rsid w:val="003A01F8"/>
    <w:rsid w:val="003A09F1"/>
    <w:rsid w:val="003A0C52"/>
    <w:rsid w:val="003A2F40"/>
    <w:rsid w:val="003A3A8F"/>
    <w:rsid w:val="003A7581"/>
    <w:rsid w:val="003A7820"/>
    <w:rsid w:val="003B3692"/>
    <w:rsid w:val="003E0E8D"/>
    <w:rsid w:val="003E6761"/>
    <w:rsid w:val="003F7011"/>
    <w:rsid w:val="00402A49"/>
    <w:rsid w:val="0041343E"/>
    <w:rsid w:val="00420A8B"/>
    <w:rsid w:val="004211D1"/>
    <w:rsid w:val="00423418"/>
    <w:rsid w:val="004270C0"/>
    <w:rsid w:val="00430A55"/>
    <w:rsid w:val="00433326"/>
    <w:rsid w:val="00436B42"/>
    <w:rsid w:val="0044016B"/>
    <w:rsid w:val="00442134"/>
    <w:rsid w:val="00443B80"/>
    <w:rsid w:val="00454F96"/>
    <w:rsid w:val="00466F87"/>
    <w:rsid w:val="00467138"/>
    <w:rsid w:val="004909F8"/>
    <w:rsid w:val="00495DF2"/>
    <w:rsid w:val="004A6951"/>
    <w:rsid w:val="004B154C"/>
    <w:rsid w:val="004B30F3"/>
    <w:rsid w:val="004C6700"/>
    <w:rsid w:val="004C744E"/>
    <w:rsid w:val="004E5F0D"/>
    <w:rsid w:val="004F2019"/>
    <w:rsid w:val="004F44C1"/>
    <w:rsid w:val="0050532D"/>
    <w:rsid w:val="00507DF7"/>
    <w:rsid w:val="005208B6"/>
    <w:rsid w:val="00523DC7"/>
    <w:rsid w:val="0052659E"/>
    <w:rsid w:val="0055255C"/>
    <w:rsid w:val="00561BC1"/>
    <w:rsid w:val="00565BC2"/>
    <w:rsid w:val="00574AAD"/>
    <w:rsid w:val="005752AF"/>
    <w:rsid w:val="005868E1"/>
    <w:rsid w:val="00586EBB"/>
    <w:rsid w:val="00592CE4"/>
    <w:rsid w:val="005C2892"/>
    <w:rsid w:val="005C7C2A"/>
    <w:rsid w:val="005D2172"/>
    <w:rsid w:val="005E3E64"/>
    <w:rsid w:val="005F1685"/>
    <w:rsid w:val="005F6B35"/>
    <w:rsid w:val="00601F01"/>
    <w:rsid w:val="006054F9"/>
    <w:rsid w:val="00605B3A"/>
    <w:rsid w:val="00606E51"/>
    <w:rsid w:val="0060753D"/>
    <w:rsid w:val="00607CC2"/>
    <w:rsid w:val="006117B9"/>
    <w:rsid w:val="006162EC"/>
    <w:rsid w:val="00616DEE"/>
    <w:rsid w:val="00631BC9"/>
    <w:rsid w:val="00653AB9"/>
    <w:rsid w:val="006542AA"/>
    <w:rsid w:val="0065687F"/>
    <w:rsid w:val="00665250"/>
    <w:rsid w:val="00665B85"/>
    <w:rsid w:val="00667410"/>
    <w:rsid w:val="00671379"/>
    <w:rsid w:val="006828CF"/>
    <w:rsid w:val="00693F84"/>
    <w:rsid w:val="0069482B"/>
    <w:rsid w:val="00694FA2"/>
    <w:rsid w:val="00695534"/>
    <w:rsid w:val="006A01CB"/>
    <w:rsid w:val="006A248A"/>
    <w:rsid w:val="006A408E"/>
    <w:rsid w:val="006C40FB"/>
    <w:rsid w:val="006D6E3B"/>
    <w:rsid w:val="006E2A56"/>
    <w:rsid w:val="006E2D38"/>
    <w:rsid w:val="006E6515"/>
    <w:rsid w:val="006F17A9"/>
    <w:rsid w:val="006F5109"/>
    <w:rsid w:val="007000D8"/>
    <w:rsid w:val="00701675"/>
    <w:rsid w:val="00703936"/>
    <w:rsid w:val="00703C8E"/>
    <w:rsid w:val="00705334"/>
    <w:rsid w:val="00705E3F"/>
    <w:rsid w:val="0072529C"/>
    <w:rsid w:val="00731E49"/>
    <w:rsid w:val="00736587"/>
    <w:rsid w:val="00744587"/>
    <w:rsid w:val="00753D83"/>
    <w:rsid w:val="00754CFA"/>
    <w:rsid w:val="007807FD"/>
    <w:rsid w:val="007818E3"/>
    <w:rsid w:val="00781F5A"/>
    <w:rsid w:val="0078382B"/>
    <w:rsid w:val="00787274"/>
    <w:rsid w:val="00795999"/>
    <w:rsid w:val="007978C7"/>
    <w:rsid w:val="007A08B1"/>
    <w:rsid w:val="007B5DB2"/>
    <w:rsid w:val="007B611A"/>
    <w:rsid w:val="007D4F5E"/>
    <w:rsid w:val="007E437C"/>
    <w:rsid w:val="008037DF"/>
    <w:rsid w:val="008070BE"/>
    <w:rsid w:val="00820F98"/>
    <w:rsid w:val="0082414E"/>
    <w:rsid w:val="00831161"/>
    <w:rsid w:val="008335FB"/>
    <w:rsid w:val="00835FE8"/>
    <w:rsid w:val="00850CB1"/>
    <w:rsid w:val="00862917"/>
    <w:rsid w:val="00862A19"/>
    <w:rsid w:val="00873E0B"/>
    <w:rsid w:val="00875622"/>
    <w:rsid w:val="00882397"/>
    <w:rsid w:val="00883064"/>
    <w:rsid w:val="00885F1B"/>
    <w:rsid w:val="00891F3C"/>
    <w:rsid w:val="008A147F"/>
    <w:rsid w:val="008B3F79"/>
    <w:rsid w:val="008B475C"/>
    <w:rsid w:val="008B6911"/>
    <w:rsid w:val="008D1EFB"/>
    <w:rsid w:val="008D52FC"/>
    <w:rsid w:val="008E24D5"/>
    <w:rsid w:val="008F50E1"/>
    <w:rsid w:val="00914591"/>
    <w:rsid w:val="00940908"/>
    <w:rsid w:val="00942416"/>
    <w:rsid w:val="00947D65"/>
    <w:rsid w:val="00963E84"/>
    <w:rsid w:val="009669F2"/>
    <w:rsid w:val="009701C0"/>
    <w:rsid w:val="00970257"/>
    <w:rsid w:val="00972EF9"/>
    <w:rsid w:val="009815B4"/>
    <w:rsid w:val="00992DD9"/>
    <w:rsid w:val="00995D88"/>
    <w:rsid w:val="009A0C6D"/>
    <w:rsid w:val="009A170E"/>
    <w:rsid w:val="009B4816"/>
    <w:rsid w:val="009B616E"/>
    <w:rsid w:val="009B623A"/>
    <w:rsid w:val="009E23BD"/>
    <w:rsid w:val="009E4C72"/>
    <w:rsid w:val="00A025B6"/>
    <w:rsid w:val="00A02927"/>
    <w:rsid w:val="00A04C0A"/>
    <w:rsid w:val="00A34859"/>
    <w:rsid w:val="00A363AF"/>
    <w:rsid w:val="00A6214C"/>
    <w:rsid w:val="00A67243"/>
    <w:rsid w:val="00A70FD4"/>
    <w:rsid w:val="00A876BA"/>
    <w:rsid w:val="00A94D1F"/>
    <w:rsid w:val="00A97314"/>
    <w:rsid w:val="00A976B1"/>
    <w:rsid w:val="00AA32FD"/>
    <w:rsid w:val="00AA556E"/>
    <w:rsid w:val="00AA7C19"/>
    <w:rsid w:val="00AB7E7A"/>
    <w:rsid w:val="00AD4ECF"/>
    <w:rsid w:val="00AD644C"/>
    <w:rsid w:val="00AF7CF6"/>
    <w:rsid w:val="00B01E2F"/>
    <w:rsid w:val="00B41230"/>
    <w:rsid w:val="00B42515"/>
    <w:rsid w:val="00B44DFA"/>
    <w:rsid w:val="00B50E52"/>
    <w:rsid w:val="00B536F3"/>
    <w:rsid w:val="00B5475F"/>
    <w:rsid w:val="00B648FF"/>
    <w:rsid w:val="00B660E9"/>
    <w:rsid w:val="00B718D6"/>
    <w:rsid w:val="00B73FF8"/>
    <w:rsid w:val="00B76E06"/>
    <w:rsid w:val="00B84063"/>
    <w:rsid w:val="00B97613"/>
    <w:rsid w:val="00BA313A"/>
    <w:rsid w:val="00BA62CD"/>
    <w:rsid w:val="00BB39A5"/>
    <w:rsid w:val="00BB402C"/>
    <w:rsid w:val="00BB4567"/>
    <w:rsid w:val="00BC18CF"/>
    <w:rsid w:val="00BC1A5F"/>
    <w:rsid w:val="00BD12FF"/>
    <w:rsid w:val="00BD33E3"/>
    <w:rsid w:val="00BD6B5E"/>
    <w:rsid w:val="00BE51B6"/>
    <w:rsid w:val="00BF075F"/>
    <w:rsid w:val="00BF386C"/>
    <w:rsid w:val="00C01C31"/>
    <w:rsid w:val="00C113EB"/>
    <w:rsid w:val="00C22205"/>
    <w:rsid w:val="00C242C2"/>
    <w:rsid w:val="00C24345"/>
    <w:rsid w:val="00C25754"/>
    <w:rsid w:val="00C3528E"/>
    <w:rsid w:val="00C356F7"/>
    <w:rsid w:val="00C4674E"/>
    <w:rsid w:val="00C505F4"/>
    <w:rsid w:val="00C5257B"/>
    <w:rsid w:val="00C52C10"/>
    <w:rsid w:val="00C535CE"/>
    <w:rsid w:val="00C60585"/>
    <w:rsid w:val="00C6287B"/>
    <w:rsid w:val="00C673C5"/>
    <w:rsid w:val="00C75A49"/>
    <w:rsid w:val="00C77CB6"/>
    <w:rsid w:val="00C84D27"/>
    <w:rsid w:val="00C86549"/>
    <w:rsid w:val="00C96493"/>
    <w:rsid w:val="00CA1F15"/>
    <w:rsid w:val="00CA703C"/>
    <w:rsid w:val="00CB0A5A"/>
    <w:rsid w:val="00CB185C"/>
    <w:rsid w:val="00CB1F17"/>
    <w:rsid w:val="00CE14D1"/>
    <w:rsid w:val="00CF4A02"/>
    <w:rsid w:val="00CF5C62"/>
    <w:rsid w:val="00CF7D0B"/>
    <w:rsid w:val="00D0489F"/>
    <w:rsid w:val="00D06328"/>
    <w:rsid w:val="00D07CBE"/>
    <w:rsid w:val="00D118A8"/>
    <w:rsid w:val="00D13C75"/>
    <w:rsid w:val="00D21BC7"/>
    <w:rsid w:val="00D275CF"/>
    <w:rsid w:val="00D34032"/>
    <w:rsid w:val="00D376BE"/>
    <w:rsid w:val="00D448B2"/>
    <w:rsid w:val="00D53636"/>
    <w:rsid w:val="00D54E97"/>
    <w:rsid w:val="00D648BB"/>
    <w:rsid w:val="00D950E7"/>
    <w:rsid w:val="00DA5254"/>
    <w:rsid w:val="00DB3D10"/>
    <w:rsid w:val="00DB6D61"/>
    <w:rsid w:val="00DB7857"/>
    <w:rsid w:val="00DD564C"/>
    <w:rsid w:val="00DD7BE9"/>
    <w:rsid w:val="00DE06AD"/>
    <w:rsid w:val="00DE0DE2"/>
    <w:rsid w:val="00DE75C1"/>
    <w:rsid w:val="00E002D2"/>
    <w:rsid w:val="00E01CE4"/>
    <w:rsid w:val="00E048AE"/>
    <w:rsid w:val="00E17261"/>
    <w:rsid w:val="00E17B31"/>
    <w:rsid w:val="00E20768"/>
    <w:rsid w:val="00E2461A"/>
    <w:rsid w:val="00E434F5"/>
    <w:rsid w:val="00E4470B"/>
    <w:rsid w:val="00E503B7"/>
    <w:rsid w:val="00E50F8B"/>
    <w:rsid w:val="00E5302D"/>
    <w:rsid w:val="00E538E9"/>
    <w:rsid w:val="00E54787"/>
    <w:rsid w:val="00E55E7B"/>
    <w:rsid w:val="00E55F31"/>
    <w:rsid w:val="00E65B62"/>
    <w:rsid w:val="00E73515"/>
    <w:rsid w:val="00E81F69"/>
    <w:rsid w:val="00E83532"/>
    <w:rsid w:val="00E86F2C"/>
    <w:rsid w:val="00E954C2"/>
    <w:rsid w:val="00EA7605"/>
    <w:rsid w:val="00EC362D"/>
    <w:rsid w:val="00EE02FB"/>
    <w:rsid w:val="00EF04CB"/>
    <w:rsid w:val="00F0071B"/>
    <w:rsid w:val="00F02EBA"/>
    <w:rsid w:val="00F04B9B"/>
    <w:rsid w:val="00F12CFC"/>
    <w:rsid w:val="00F353FB"/>
    <w:rsid w:val="00F400F3"/>
    <w:rsid w:val="00F71EF6"/>
    <w:rsid w:val="00F7433F"/>
    <w:rsid w:val="00F807D4"/>
    <w:rsid w:val="00F87679"/>
    <w:rsid w:val="00F96345"/>
    <w:rsid w:val="00F97601"/>
    <w:rsid w:val="00FA01D8"/>
    <w:rsid w:val="00FA3745"/>
    <w:rsid w:val="00FA5FE9"/>
    <w:rsid w:val="00FA6E96"/>
    <w:rsid w:val="00FB10D5"/>
    <w:rsid w:val="00FB472A"/>
    <w:rsid w:val="00FB4903"/>
    <w:rsid w:val="00FC0C8D"/>
    <w:rsid w:val="00FC4256"/>
    <w:rsid w:val="00FC4DA6"/>
    <w:rsid w:val="00FC54A4"/>
    <w:rsid w:val="00FD2B91"/>
    <w:rsid w:val="00FE37DA"/>
    <w:rsid w:val="00FF0D0A"/>
    <w:rsid w:val="00FF1C87"/>
    <w:rsid w:val="00FF1FC2"/>
    <w:rsid w:val="00FF22F8"/>
    <w:rsid w:val="00FF293E"/>
    <w:rsid w:val="00FF733A"/>
    <w:rsid w:val="0140565A"/>
    <w:rsid w:val="01921992"/>
    <w:rsid w:val="36CA4683"/>
    <w:rsid w:val="4BEB54E0"/>
    <w:rsid w:val="7CE645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annotation reference"/>
    <w:qFormat/>
    <w:uiPriority w:val="0"/>
    <w:rPr>
      <w:sz w:val="21"/>
      <w:szCs w:val="21"/>
    </w:rPr>
  </w:style>
  <w:style w:type="character" w:customStyle="1" w:styleId="11">
    <w:name w:val="消息标题号"/>
    <w:qFormat/>
    <w:uiPriority w:val="0"/>
    <w:rPr>
      <w:rFonts w:ascii="Arial Black" w:hAnsi="Arial Black" w:eastAsia="黑体"/>
      <w:spacing w:val="-10"/>
      <w:sz w:val="21"/>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批注框文本 Char"/>
    <w:link w:val="3"/>
    <w:qFormat/>
    <w:uiPriority w:val="0"/>
    <w:rPr>
      <w:kern w:val="2"/>
      <w:sz w:val="18"/>
      <w:szCs w:val="18"/>
    </w:rPr>
  </w:style>
  <w:style w:type="character" w:customStyle="1" w:styleId="16">
    <w:name w:val="批注文字 Char"/>
    <w:link w:val="2"/>
    <w:qFormat/>
    <w:uiPriority w:val="0"/>
    <w:rPr>
      <w:kern w:val="2"/>
      <w:sz w:val="21"/>
      <w:szCs w:val="24"/>
    </w:rPr>
  </w:style>
  <w:style w:type="character" w:customStyle="1" w:styleId="17">
    <w:name w:val="批注主题 Char"/>
    <w:link w:val="6"/>
    <w:qFormat/>
    <w:uiPriority w:val="0"/>
    <w:rPr>
      <w:b/>
      <w:bCs/>
      <w:kern w:val="2"/>
      <w:sz w:val="21"/>
      <w:szCs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9FAA9-150F-4730-95D1-759FB1EDAAB6}">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504</Words>
  <Characters>2879</Characters>
  <Lines>23</Lines>
  <Paragraphs>6</Paragraphs>
  <TotalTime>4</TotalTime>
  <ScaleCrop>false</ScaleCrop>
  <LinksUpToDate>false</LinksUpToDate>
  <CharactersWithSpaces>3377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2019-05-28T10:30:00Z</dcterms:created>
  <dc:creator>张洪涛</dc:creator>
  <cp:lastModifiedBy>  MAli</cp:lastModifiedBy>
  <dcterms:modified xsi:type="dcterms:W3CDTF">2019-05-28T16:37:06Z</dcterms:modified>
  <dc:title>附件二：投资者关系活动记录表格式</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