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400" w:lineRule="exact"/>
        <w:rPr>
          <w:bCs/>
          <w:iCs/>
          <w:sz w:val="24"/>
        </w:rPr>
      </w:pPr>
      <w:r>
        <w:rPr>
          <w:bCs/>
          <w:iCs/>
          <w:sz w:val="24"/>
        </w:rPr>
        <w:t>证券代码：000969                                   证券简称：安泰科技</w:t>
      </w:r>
    </w:p>
    <w:p>
      <w:pPr>
        <w:spacing w:before="156" w:beforeLines="50" w:after="156" w:afterLines="50" w:line="400" w:lineRule="exact"/>
        <w:jc w:val="center"/>
        <w:rPr>
          <w:b/>
          <w:bCs/>
          <w:iCs/>
          <w:sz w:val="32"/>
          <w:szCs w:val="32"/>
        </w:rPr>
      </w:pPr>
      <w:r>
        <w:rPr>
          <w:b/>
          <w:bCs/>
          <w:iCs/>
          <w:sz w:val="32"/>
          <w:szCs w:val="32"/>
        </w:rPr>
        <w:t>安泰科技股份有限公司投资者关系活动记录表</w:t>
      </w:r>
    </w:p>
    <w:p>
      <w:pPr>
        <w:spacing w:line="400" w:lineRule="exact"/>
        <w:rPr>
          <w:bCs/>
          <w:iCs/>
          <w:sz w:val="24"/>
        </w:rPr>
      </w:pPr>
      <w:r>
        <w:rPr>
          <w:bCs/>
          <w:iCs/>
          <w:sz w:val="24"/>
        </w:rPr>
        <w:t xml:space="preserve">                                                        编号：201</w:t>
      </w:r>
      <w:r>
        <w:rPr>
          <w:rFonts w:hint="eastAsia"/>
          <w:bCs/>
          <w:iCs/>
          <w:sz w:val="24"/>
          <w:lang w:val="en-US" w:eastAsia="zh-CN"/>
        </w:rPr>
        <w:t>9</w:t>
      </w:r>
      <w:r>
        <w:rPr>
          <w:bCs/>
          <w:iCs/>
          <w:sz w:val="24"/>
        </w:rPr>
        <w:t>-00</w:t>
      </w:r>
      <w:r>
        <w:rPr>
          <w:rFonts w:hint="eastAsia"/>
          <w:bCs/>
          <w:iCs/>
          <w:sz w:val="24"/>
          <w:lang w:val="en-US" w:eastAsia="zh-CN"/>
        </w:rPr>
        <w:t>4</w:t>
      </w:r>
    </w:p>
    <w:tbl>
      <w:tblPr>
        <w:tblStyle w:val="10"/>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iCs/>
                <w:sz w:val="24"/>
                <w:highlight w:val="none"/>
              </w:rPr>
            </w:pPr>
            <w:r>
              <w:rPr>
                <w:bCs/>
                <w:iCs/>
                <w:sz w:val="24"/>
                <w:highlight w:val="none"/>
              </w:rPr>
              <w:t>投资者关系</w:t>
            </w:r>
          </w:p>
          <w:p>
            <w:pPr>
              <w:spacing w:line="360" w:lineRule="auto"/>
              <w:jc w:val="center"/>
              <w:rPr>
                <w:bCs/>
                <w:iCs/>
                <w:sz w:val="24"/>
                <w:highlight w:val="none"/>
              </w:rPr>
            </w:pPr>
            <w:r>
              <w:rPr>
                <w:bCs/>
                <w:iCs/>
                <w:sz w:val="24"/>
                <w:highlight w:val="none"/>
              </w:rPr>
              <w:t>活动类别</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w:t>
            </w:r>
            <w:r>
              <w:rPr>
                <w:sz w:val="24"/>
                <w:highlight w:val="none"/>
              </w:rPr>
              <w:t xml:space="preserve">特定对象调研        </w:t>
            </w:r>
            <w:r>
              <w:rPr>
                <w:bCs/>
                <w:iCs/>
                <w:sz w:val="24"/>
                <w:highlight w:val="none"/>
              </w:rPr>
              <w:t>□</w:t>
            </w:r>
            <w:r>
              <w:rPr>
                <w:sz w:val="24"/>
                <w:highlight w:val="none"/>
              </w:rPr>
              <w:t>分析师会议</w:t>
            </w:r>
          </w:p>
          <w:p>
            <w:pPr>
              <w:spacing w:line="360" w:lineRule="auto"/>
              <w:rPr>
                <w:bCs/>
                <w:iCs/>
                <w:sz w:val="24"/>
                <w:highlight w:val="none"/>
              </w:rPr>
            </w:pPr>
            <w:r>
              <w:rPr>
                <w:bCs/>
                <w:iCs/>
                <w:sz w:val="24"/>
                <w:highlight w:val="none"/>
              </w:rPr>
              <w:t>□</w:t>
            </w:r>
            <w:r>
              <w:rPr>
                <w:sz w:val="24"/>
                <w:highlight w:val="none"/>
              </w:rPr>
              <w:t xml:space="preserve">媒体采访            </w:t>
            </w:r>
            <w:r>
              <w:rPr>
                <w:bCs/>
                <w:iCs/>
                <w:sz w:val="24"/>
                <w:highlight w:val="none"/>
              </w:rPr>
              <w:t>□</w:t>
            </w:r>
            <w:r>
              <w:rPr>
                <w:sz w:val="24"/>
                <w:highlight w:val="none"/>
              </w:rPr>
              <w:t>业绩说明会</w:t>
            </w:r>
          </w:p>
          <w:p>
            <w:pPr>
              <w:spacing w:line="360" w:lineRule="auto"/>
              <w:rPr>
                <w:bCs/>
                <w:iCs/>
                <w:sz w:val="24"/>
                <w:highlight w:val="none"/>
              </w:rPr>
            </w:pPr>
            <w:r>
              <w:rPr>
                <w:bCs/>
                <w:iCs/>
                <w:sz w:val="24"/>
                <w:highlight w:val="none"/>
              </w:rPr>
              <w:t>□</w:t>
            </w:r>
            <w:r>
              <w:rPr>
                <w:sz w:val="24"/>
                <w:highlight w:val="none"/>
              </w:rPr>
              <w:t xml:space="preserve">新闻发布会          </w:t>
            </w:r>
            <w:r>
              <w:rPr>
                <w:bCs/>
                <w:iCs/>
                <w:sz w:val="24"/>
                <w:highlight w:val="none"/>
              </w:rPr>
              <w:t>□</w:t>
            </w:r>
            <w:r>
              <w:rPr>
                <w:sz w:val="24"/>
                <w:highlight w:val="none"/>
              </w:rPr>
              <w:t>路演活动</w:t>
            </w:r>
          </w:p>
          <w:p>
            <w:pPr>
              <w:tabs>
                <w:tab w:val="center" w:pos="3199"/>
              </w:tabs>
              <w:spacing w:line="360" w:lineRule="auto"/>
              <w:rPr>
                <w:bCs/>
                <w:iCs/>
                <w:sz w:val="24"/>
                <w:highlight w:val="none"/>
              </w:rPr>
            </w:pPr>
            <w:r>
              <w:rPr>
                <w:bCs/>
                <w:iCs/>
                <w:sz w:val="24"/>
                <w:highlight w:val="none"/>
              </w:rPr>
              <w:t>□</w:t>
            </w:r>
            <w:r>
              <w:rPr>
                <w:sz w:val="24"/>
                <w:highlight w:val="none"/>
              </w:rPr>
              <w:t>现场参观</w:t>
            </w:r>
            <w:r>
              <w:rPr>
                <w:bCs/>
                <w:iCs/>
                <w:sz w:val="24"/>
                <w:highlight w:val="none"/>
              </w:rPr>
              <w:t xml:space="preserve">            □</w:t>
            </w:r>
            <w:r>
              <w:rPr>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iCs/>
                <w:sz w:val="24"/>
                <w:highlight w:val="none"/>
              </w:rPr>
            </w:pPr>
            <w:r>
              <w:rPr>
                <w:bCs/>
                <w:iCs/>
                <w:sz w:val="24"/>
                <w:highlight w:val="none"/>
              </w:rPr>
              <w:t>参与单位名称</w:t>
            </w:r>
          </w:p>
          <w:p>
            <w:pPr>
              <w:spacing w:line="360" w:lineRule="auto"/>
              <w:jc w:val="center"/>
              <w:rPr>
                <w:bCs/>
                <w:iCs/>
                <w:sz w:val="24"/>
                <w:highlight w:val="none"/>
              </w:rPr>
            </w:pPr>
            <w:r>
              <w:rPr>
                <w:bCs/>
                <w:iCs/>
                <w:sz w:val="24"/>
                <w:highlight w:val="none"/>
              </w:rPr>
              <w:t>及人员姓名</w:t>
            </w:r>
          </w:p>
        </w:tc>
        <w:tc>
          <w:tcPr>
            <w:tcW w:w="732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szCs w:val="24"/>
                <w:highlight w:val="none"/>
              </w:rPr>
            </w:pPr>
            <w:r>
              <w:rPr>
                <w:rFonts w:hint="eastAsia"/>
                <w:sz w:val="24"/>
                <w:szCs w:val="24"/>
                <w:lang w:val="en-US" w:eastAsia="zh-CN"/>
              </w:rPr>
              <w:t>广发证券</w:t>
            </w:r>
            <w:r>
              <w:rPr>
                <w:rFonts w:hint="eastAsia"/>
                <w:sz w:val="24"/>
                <w:szCs w:val="24"/>
              </w:rPr>
              <w:t>—</w:t>
            </w:r>
            <w:r>
              <w:rPr>
                <w:rFonts w:hint="eastAsia"/>
                <w:sz w:val="24"/>
                <w:szCs w:val="24"/>
                <w:lang w:val="en-US" w:eastAsia="zh-CN"/>
              </w:rPr>
              <w:t>巨国贤、宫帅、娄永刚</w:t>
            </w:r>
            <w:r>
              <w:rPr>
                <w:rFonts w:hint="eastAsia"/>
                <w:sz w:val="24"/>
                <w:szCs w:val="24"/>
              </w:rPr>
              <w:t>，</w:t>
            </w:r>
            <w:r>
              <w:rPr>
                <w:rFonts w:hint="eastAsia"/>
                <w:sz w:val="24"/>
                <w:szCs w:val="24"/>
                <w:lang w:val="en-US" w:eastAsia="zh-CN"/>
              </w:rPr>
              <w:t>海通证券</w:t>
            </w:r>
            <w:r>
              <w:rPr>
                <w:rFonts w:hint="eastAsia"/>
                <w:sz w:val="24"/>
                <w:szCs w:val="24"/>
              </w:rPr>
              <w:t>—</w:t>
            </w:r>
            <w:r>
              <w:rPr>
                <w:rFonts w:hint="eastAsia"/>
                <w:sz w:val="24"/>
                <w:szCs w:val="24"/>
                <w:lang w:val="en-US" w:eastAsia="zh-CN"/>
              </w:rPr>
              <w:t>甘嘉尧，幸福人寿—张锐，西部利得基金—吴伯珩，华安财保—孙楠，国新投资—李晓鹏，亚太财险—刘竞远，银河金汇—</w:t>
            </w:r>
            <w:r>
              <w:rPr>
                <w:rFonts w:hint="eastAsia"/>
                <w:sz w:val="24"/>
                <w:szCs w:val="24"/>
                <w:highlight w:val="none"/>
                <w:lang w:val="en-US" w:eastAsia="zh-CN"/>
              </w:rPr>
              <w:t>郑锦斐，</w:t>
            </w:r>
            <w:r>
              <w:rPr>
                <w:rFonts w:hint="eastAsia"/>
                <w:sz w:val="24"/>
                <w:szCs w:val="24"/>
                <w:lang w:val="en-US" w:eastAsia="zh-CN"/>
              </w:rPr>
              <w:t>中航基金—杨中楷，华夏久盈—凌亚亮，中冀投资—董明斌，中邮人寿保险—赵扬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rFonts w:hint="eastAsia"/>
                <w:bCs/>
                <w:iCs/>
                <w:sz w:val="24"/>
                <w:highlight w:val="none"/>
                <w:lang w:val="en-US" w:eastAsia="zh-CN"/>
              </w:rPr>
              <w:t>接待</w:t>
            </w:r>
            <w:r>
              <w:rPr>
                <w:bCs/>
                <w:iCs/>
                <w:sz w:val="24"/>
                <w:highlight w:val="none"/>
              </w:rPr>
              <w:t>时间</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201</w:t>
            </w:r>
            <w:r>
              <w:rPr>
                <w:rFonts w:hint="eastAsia"/>
                <w:bCs/>
                <w:iCs/>
                <w:sz w:val="24"/>
                <w:highlight w:val="none"/>
                <w:lang w:val="en-US" w:eastAsia="zh-CN"/>
              </w:rPr>
              <w:t>9</w:t>
            </w:r>
            <w:r>
              <w:rPr>
                <w:bCs/>
                <w:iCs/>
                <w:sz w:val="24"/>
                <w:highlight w:val="none"/>
              </w:rPr>
              <w:t>年</w:t>
            </w:r>
            <w:r>
              <w:rPr>
                <w:rFonts w:hint="eastAsia"/>
                <w:bCs/>
                <w:iCs/>
                <w:sz w:val="24"/>
                <w:highlight w:val="none"/>
                <w:lang w:val="en-US" w:eastAsia="zh-CN"/>
              </w:rPr>
              <w:t>6</w:t>
            </w:r>
            <w:r>
              <w:rPr>
                <w:bCs/>
                <w:iCs/>
                <w:sz w:val="24"/>
                <w:highlight w:val="none"/>
              </w:rPr>
              <w:t>月</w:t>
            </w:r>
            <w:r>
              <w:rPr>
                <w:rFonts w:hint="eastAsia"/>
                <w:bCs/>
                <w:iCs/>
                <w:sz w:val="24"/>
                <w:highlight w:val="none"/>
                <w:lang w:val="en-US" w:eastAsia="zh-CN"/>
              </w:rPr>
              <w:t>4</w:t>
            </w:r>
            <w:r>
              <w:rPr>
                <w:bCs/>
                <w:iCs/>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rFonts w:hint="eastAsia"/>
                <w:bCs/>
                <w:iCs/>
                <w:sz w:val="24"/>
                <w:highlight w:val="none"/>
                <w:lang w:val="en-US" w:eastAsia="zh-CN"/>
              </w:rPr>
              <w:t>接待</w:t>
            </w:r>
            <w:r>
              <w:rPr>
                <w:bCs/>
                <w:iCs/>
                <w:sz w:val="24"/>
                <w:highlight w:val="none"/>
              </w:rPr>
              <w:t>地点</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公司</w:t>
            </w:r>
            <w:r>
              <w:rPr>
                <w:rFonts w:hint="eastAsia"/>
                <w:bCs/>
                <w:iCs/>
                <w:sz w:val="24"/>
                <w:highlight w:val="none"/>
                <w:lang w:val="en-US" w:eastAsia="zh-CN"/>
              </w:rPr>
              <w:t>总部102</w:t>
            </w:r>
            <w:r>
              <w:rPr>
                <w:bCs/>
                <w:iCs/>
                <w:sz w:val="24"/>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bCs/>
                <w:iCs/>
                <w:sz w:val="24"/>
                <w:highlight w:val="none"/>
              </w:rPr>
              <w:t>上市公司</w:t>
            </w:r>
          </w:p>
          <w:p>
            <w:pPr>
              <w:spacing w:line="360" w:lineRule="auto"/>
              <w:jc w:val="center"/>
              <w:rPr>
                <w:bCs/>
                <w:iCs/>
                <w:sz w:val="24"/>
                <w:highlight w:val="none"/>
              </w:rPr>
            </w:pPr>
            <w:r>
              <w:rPr>
                <w:bCs/>
                <w:iCs/>
                <w:sz w:val="24"/>
                <w:highlight w:val="none"/>
              </w:rPr>
              <w:t>接待人员姓名</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rFonts w:hint="eastAsia"/>
                <w:bCs/>
                <w:iCs/>
                <w:sz w:val="24"/>
                <w:highlight w:val="none"/>
                <w:lang w:val="en-US" w:eastAsia="zh-CN"/>
              </w:rPr>
              <w:t xml:space="preserve">毕林生—总裁兼财务负责人，陈哲-副总裁兼战略发展部总经理，王铁军—副总裁兼技术中心主任，赵晨、习志鹏—证券事务经理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highlight w:val="none"/>
              </w:rPr>
            </w:pPr>
            <w:r>
              <w:rPr>
                <w:bCs/>
                <w:iCs/>
                <w:sz w:val="24"/>
                <w:highlight w:val="none"/>
              </w:rPr>
              <w:t>投资者关系活动主要内容介绍</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ind w:firstLine="482" w:firstLineChars="200"/>
              <w:rPr>
                <w:b/>
                <w:bCs/>
                <w:kern w:val="0"/>
                <w:sz w:val="24"/>
                <w:highlight w:val="none"/>
              </w:rPr>
            </w:pPr>
            <w:r>
              <w:rPr>
                <w:b/>
                <w:bCs/>
                <w:kern w:val="0"/>
                <w:sz w:val="24"/>
                <w:highlight w:val="none"/>
              </w:rPr>
              <w:t>1、介绍公司背景资质</w:t>
            </w:r>
            <w:r>
              <w:rPr>
                <w:rFonts w:hint="eastAsia"/>
                <w:b/>
                <w:bCs/>
                <w:kern w:val="0"/>
                <w:sz w:val="24"/>
                <w:highlight w:val="none"/>
              </w:rPr>
              <w:t>、</w:t>
            </w:r>
            <w:r>
              <w:rPr>
                <w:rFonts w:hint="eastAsia"/>
                <w:b/>
                <w:bCs/>
                <w:kern w:val="0"/>
                <w:sz w:val="24"/>
                <w:highlight w:val="none"/>
                <w:lang w:val="en-US" w:eastAsia="zh-CN"/>
              </w:rPr>
              <w:t>主要</w:t>
            </w:r>
            <w:r>
              <w:rPr>
                <w:b/>
                <w:bCs/>
                <w:kern w:val="0"/>
                <w:sz w:val="24"/>
                <w:highlight w:val="none"/>
              </w:rPr>
              <w:t>业务领域</w:t>
            </w:r>
            <w:r>
              <w:rPr>
                <w:rFonts w:hint="eastAsia"/>
                <w:b/>
                <w:bCs/>
                <w:kern w:val="0"/>
                <w:sz w:val="24"/>
                <w:highlight w:val="none"/>
              </w:rPr>
              <w:t>及</w:t>
            </w:r>
            <w:r>
              <w:rPr>
                <w:b/>
                <w:bCs/>
                <w:kern w:val="0"/>
                <w:sz w:val="24"/>
                <w:highlight w:val="none"/>
              </w:rPr>
              <w:t>改革调整思路</w:t>
            </w:r>
          </w:p>
          <w:p>
            <w:pPr>
              <w:spacing w:line="360" w:lineRule="auto"/>
              <w:ind w:firstLine="480" w:firstLineChars="200"/>
              <w:rPr>
                <w:rFonts w:hint="eastAsia"/>
                <w:kern w:val="0"/>
                <w:sz w:val="24"/>
                <w:highlight w:val="none"/>
                <w:lang w:eastAsia="zh-CN"/>
              </w:rPr>
            </w:pPr>
            <w:r>
              <w:rPr>
                <w:rFonts w:hint="eastAsia"/>
                <w:kern w:val="0"/>
                <w:sz w:val="24"/>
                <w:highlight w:val="none"/>
                <w:lang w:val="zh-CN"/>
              </w:rPr>
              <w:t>公司自成立以来，一直以先进金属材料及制品的研发、生产和销售为主业，是国内金属新材料行业的领军企业之一，也是国家高新技术企业</w:t>
            </w:r>
            <w:r>
              <w:rPr>
                <w:kern w:val="0"/>
                <w:sz w:val="24"/>
                <w:highlight w:val="none"/>
              </w:rPr>
              <w:t>。</w:t>
            </w:r>
            <w:r>
              <w:rPr>
                <w:rFonts w:hint="eastAsia"/>
                <w:kern w:val="0"/>
                <w:sz w:val="24"/>
                <w:highlight w:val="none"/>
              </w:rPr>
              <w:t>公司切实推进产业聚焦与取舍，明确在“十三五”期间以“先进功能材料及器件、特种粉末冶金材料及制品、高品质特钢及焊接材料、环保与高端科技服务业”四大板块作为核心业务板块</w:t>
            </w:r>
            <w:r>
              <w:rPr>
                <w:rFonts w:hint="eastAsia"/>
                <w:kern w:val="0"/>
                <w:sz w:val="24"/>
                <w:highlight w:val="none"/>
                <w:lang w:eastAsia="zh-CN"/>
              </w:rPr>
              <w:t>。</w:t>
            </w:r>
          </w:p>
          <w:p>
            <w:pPr>
              <w:spacing w:line="360" w:lineRule="auto"/>
              <w:ind w:firstLine="480" w:firstLineChars="200"/>
              <w:rPr>
                <w:rFonts w:hint="eastAsia"/>
                <w:kern w:val="0"/>
                <w:sz w:val="24"/>
                <w:highlight w:val="none"/>
                <w:lang w:eastAsia="zh-CN"/>
              </w:rPr>
            </w:pPr>
            <w:r>
              <w:rPr>
                <w:rFonts w:hint="eastAsia"/>
                <w:kern w:val="0"/>
                <w:sz w:val="24"/>
                <w:highlight w:val="none"/>
                <w:lang w:val="en-US" w:eastAsia="zh-CN"/>
              </w:rPr>
              <w:t>公司</w:t>
            </w:r>
            <w:r>
              <w:rPr>
                <w:rFonts w:hint="eastAsia"/>
                <w:kern w:val="0"/>
                <w:sz w:val="24"/>
                <w:highlight w:val="none"/>
                <w:lang w:eastAsia="zh-CN"/>
              </w:rPr>
              <w:t>“先进功能材料及器件”包含非晶带材、纳米晶材料、稀土永磁材料、精密软磁合金</w:t>
            </w:r>
            <w:r>
              <w:rPr>
                <w:rFonts w:hint="eastAsia"/>
                <w:kern w:val="0"/>
                <w:sz w:val="24"/>
                <w:highlight w:val="none"/>
                <w:lang w:val="en-US" w:eastAsia="zh-CN"/>
              </w:rPr>
              <w:t>等业务，对应的主要控股公司为安泰南瑞非晶科技有限责任公司、安泰非晶制品分公司、上海安泰至高非晶金属有限公司、安泰功能材料事业部</w:t>
            </w:r>
            <w:r>
              <w:rPr>
                <w:rFonts w:hint="eastAsia"/>
                <w:kern w:val="0"/>
                <w:sz w:val="24"/>
                <w:highlight w:val="none"/>
                <w:lang w:eastAsia="zh-CN"/>
              </w:rPr>
              <w:t>；“特种粉末冶金材料及制品”包含难熔材料、超硬材料、注射成形产品、雾化制粉</w:t>
            </w:r>
            <w:r>
              <w:rPr>
                <w:rFonts w:hint="eastAsia"/>
                <w:kern w:val="0"/>
                <w:sz w:val="24"/>
                <w:highlight w:val="none"/>
                <w:lang w:val="en-US" w:eastAsia="zh-CN"/>
              </w:rPr>
              <w:t>等业务，对应的主要控股公司分别为安泰天龙钨钼科技有限公司、北京安泰中科金属材料有限公司、北京安泰钢研超硬材料制品有限公司、深圳市安泰海美格金属有限公司、安泰(霸州)特种粉业有限公司</w:t>
            </w:r>
            <w:r>
              <w:rPr>
                <w:rFonts w:hint="eastAsia"/>
                <w:kern w:val="0"/>
                <w:sz w:val="24"/>
                <w:highlight w:val="none"/>
                <w:lang w:eastAsia="zh-CN"/>
              </w:rPr>
              <w:t>；“高品质特钢及焊接材料”包含高速工具钢、高端模具钢、焊接材料</w:t>
            </w:r>
            <w:r>
              <w:rPr>
                <w:rFonts w:hint="eastAsia"/>
                <w:kern w:val="0"/>
                <w:sz w:val="24"/>
                <w:highlight w:val="none"/>
                <w:lang w:val="en-US" w:eastAsia="zh-CN"/>
              </w:rPr>
              <w:t>等业务，对应的主要控股公司为河冶科技股份有限公司、天津市三英焊业有限责任公司</w:t>
            </w:r>
            <w:r>
              <w:rPr>
                <w:rFonts w:hint="eastAsia"/>
                <w:kern w:val="0"/>
                <w:sz w:val="24"/>
                <w:highlight w:val="none"/>
                <w:lang w:eastAsia="zh-CN"/>
              </w:rPr>
              <w:t>；“环保与高端科技服务业”包含环保装备与工程、孵化器厂房运营、投资等</w:t>
            </w:r>
            <w:r>
              <w:rPr>
                <w:rFonts w:hint="eastAsia"/>
                <w:kern w:val="0"/>
                <w:sz w:val="24"/>
                <w:highlight w:val="none"/>
                <w:lang w:val="en-US" w:eastAsia="zh-CN"/>
              </w:rPr>
              <w:t>业务，对应的主要控股公司为安泰环境工程技术有限公司、安泰创业投资(深圳)有限公司</w:t>
            </w:r>
            <w:r>
              <w:rPr>
                <w:rFonts w:hint="eastAsia"/>
                <w:kern w:val="0"/>
                <w:sz w:val="24"/>
                <w:highlight w:val="none"/>
                <w:lang w:eastAsia="zh-CN"/>
              </w:rPr>
              <w:t>。</w:t>
            </w:r>
          </w:p>
          <w:p>
            <w:pPr>
              <w:spacing w:line="360" w:lineRule="auto"/>
              <w:ind w:firstLine="480" w:firstLineChars="200"/>
              <w:rPr>
                <w:sz w:val="24"/>
                <w:highlight w:val="none"/>
              </w:rPr>
            </w:pPr>
            <w:r>
              <w:rPr>
                <w:rFonts w:hint="eastAsia"/>
                <w:kern w:val="0"/>
                <w:sz w:val="24"/>
                <w:highlight w:val="none"/>
                <w:lang w:val="zh-CN"/>
              </w:rPr>
              <w:t>公司产品广泛应用于航空航天、核电、生物医疗、信息技术产业、节能与新能源汽车、船舶、轨道交通等领域，重点服务于战略性新兴产业。新材料作为国民经济的先导产业，被国家列为重点发展的10大产业领域之一。新材料产业在高端突破、进口替代、中低端转型升级方面孕育着巨大市场需求，公司未来面临重要发展机遇。</w:t>
            </w:r>
            <w:bookmarkStart w:id="0" w:name="_GoBack"/>
            <w:bookmarkEnd w:id="0"/>
          </w:p>
          <w:p>
            <w:pPr>
              <w:spacing w:line="360" w:lineRule="auto"/>
              <w:ind w:firstLine="480" w:firstLineChars="200"/>
              <w:jc w:val="both"/>
              <w:rPr>
                <w:rFonts w:hint="eastAsia"/>
                <w:sz w:val="24"/>
                <w:highlight w:val="none"/>
                <w:lang w:val="en-US" w:eastAsia="zh-CN"/>
              </w:rPr>
            </w:pPr>
            <w:r>
              <w:rPr>
                <w:rFonts w:hint="eastAsia"/>
                <w:sz w:val="24"/>
                <w:highlight w:val="none"/>
                <w:lang w:val="en-US" w:eastAsia="zh-CN"/>
              </w:rPr>
              <w:t>2018年，是公司产业调整转型的攻坚之年，也是公司面临巨大困难和承受巨大压力的一年。公司将“择优扶强”和“处僵治困”作为核心任务，在优化资源配置、全力扶持优势产业发展的同时，强力推进困难业务扭亏脱困，坚决止住“出血点”，加快完成结构调整和实现新旧增长动能转换。虽然因对部分扭亏无望的业务进行调整和剥离，导致公司业绩出现了较大亏损，但在持续深化改革、加快产业调整、强化技术创新、落实合规管理、完善用人机制、落实党建和企业文化建设等方面取得了积极进展，推进择优扶强取得显著成效，公司员工士气、凝聚力显著提升，新签订合同、营业收入均实现历史新高，主导产品市场占有率持续扩大，业务基本面保持稳定向好。</w:t>
            </w:r>
          </w:p>
          <w:p>
            <w:pPr>
              <w:spacing w:line="360" w:lineRule="auto"/>
              <w:ind w:firstLine="480" w:firstLineChars="200"/>
              <w:rPr>
                <w:rFonts w:hint="eastAsia"/>
                <w:sz w:val="24"/>
                <w:highlight w:val="none"/>
              </w:rPr>
            </w:pPr>
            <w:r>
              <w:rPr>
                <w:rFonts w:hint="eastAsia"/>
                <w:sz w:val="24"/>
                <w:highlight w:val="none"/>
                <w:lang w:val="en-US" w:eastAsia="zh-CN"/>
              </w:rPr>
              <w:t>2</w:t>
            </w:r>
            <w:r>
              <w:rPr>
                <w:rFonts w:hint="eastAsia"/>
                <w:sz w:val="24"/>
                <w:highlight w:val="none"/>
              </w:rPr>
              <w:t>019年，公司</w:t>
            </w:r>
            <w:r>
              <w:rPr>
                <w:rFonts w:hint="eastAsia"/>
                <w:sz w:val="24"/>
                <w:highlight w:val="none"/>
                <w:lang w:val="en-US" w:eastAsia="zh-CN"/>
              </w:rPr>
              <w:t>将</w:t>
            </w:r>
            <w:r>
              <w:rPr>
                <w:rFonts w:hint="eastAsia"/>
                <w:sz w:val="24"/>
                <w:highlight w:val="none"/>
              </w:rPr>
              <w:t>继续通过各项结构调整，坚持取舍，合理布局，配套激励政策，实现“增量共享，共同发展”的目标。将对重点企业、重点领域落实择优扶强，在人才引进、工资总额、双对标薪酬、信贷政策、投资需求等方面配置优势资源、配套政策支持；培育增量业务，积极寻找内外部机会，围绕增强核心竞争力，在做优做强上下大功夫。同时，还将在过去处僵治困基础上，坚持顶层设计，坚持取舍，加快低效无效资产处置，夯实资产质量，提高资产周转效率。</w:t>
            </w:r>
          </w:p>
          <w:p>
            <w:pPr>
              <w:spacing w:line="360" w:lineRule="auto"/>
              <w:ind w:firstLine="482" w:firstLineChars="200"/>
              <w:rPr>
                <w:rFonts w:hint="eastAsia"/>
                <w:b/>
                <w:bCs/>
                <w:sz w:val="24"/>
                <w:szCs w:val="28"/>
                <w:highlight w:val="none"/>
                <w:lang w:val="en-US" w:eastAsia="zh-CN"/>
              </w:rPr>
            </w:pPr>
            <w:r>
              <w:rPr>
                <w:rFonts w:hint="eastAsia"/>
                <w:b/>
                <w:bCs/>
                <w:sz w:val="24"/>
                <w:szCs w:val="28"/>
                <w:highlight w:val="none"/>
                <w:lang w:val="en-US" w:eastAsia="zh-CN"/>
              </w:rPr>
              <w:t>2、安泰环境相关业务情况</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公司成立于2015年，由安泰科技股份有限公司整合原粉末冶金事业部过滤材料分公司及工程技术事业部，同时全资收购宁波化工研究设计院有限公司组建而成，并作为安泰科技混合所有制改革试点单位，实现员工持股。</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公司以环境控制保护与清洁能源利用为宗旨，服务于包括传统能源及新能源领域的工业过滤净化工程、能源清洁化利用工程和氢能源与燃料电池等核心业务。公司从事先进多孔材料及元器件研发生产，以及多孔材料在气固液非均相系统中过滤、分离、浓缩和聚结等应用技术开发、成套装置设计制造；开展煤炭清洁综合利用、环境控制与治理、氢能利用等工程设计及总承包业务。</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公司主要围绕能源清洁化利用、清洁能源技术，具备从产品研发制造、装置配套、系统集成、工程设计及总承包能力的环境控制综合服务商，帮助工业领域实现过程清洁化、排放减量化、无害化、以及资源化再利用。</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安泰环境拥有一支氢能源与燃料电池开发利用相关的核心研发团队，具备氢能源“制取-储运-加注-应用”的相关工艺、材料及核心部件、系统装备的研发制造能力，具有在燃料电池关键材料及其制备技术的研发能力和产业转化经验，部分材料比如金属基的气体扩散层已经量产，在某些型号的燃料电池电堆、水电解制氢装置上有较好的应用。高比功率燃料电池电堆用金属双极板的开发也处于国内先进行列中。</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在制氢-加氢和氢气储运工程方面，安泰环境下属全资子公司具有设计和工程专业资质、丰富的项目设计和运维经验，可提供安全可靠、技术一流的制氢加氢关键设备、系统工程服务和运维服务支持等成套系统解决方案。</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2016年中国钢研作为主要牵头单位之一，和其他单位共同承担国家科技部新能源汽车重点专项，安泰环境作为中国钢研集团该课题的具体实施单位，目前各项研发工作正按计划推进，有望逐步推出相关转化成果，为行业发展输出先进可靠的技术和产品。</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2018年“中国氢能源与燃料电池产业创新战略联盟”成立，中国钢研集团是发起核心单位，也是联盟副理事长、联盟常务副秘书长单位。中国钢研科技集团有六位国内顶尖的院士、专家出任中国氢能联盟领导及专家委员，直接参与国家氢能和燃料电池产业战略顶层设计。安泰环境氢能及燃料电池专业团队作为主力军参与到“氢能源与燃料电池行业报告”、“国家氢能白皮书”等报告编制工作中，并正参与一些重点区域、省市的氢能生态系统建设和产业发展规划。</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安泰环境是国内首家燃料电池关键材料量产企业，对标国际知名企业，国内领先，在石化、煤化、核电等能源领域成功实现金属过滤材料及装置国产化替代，某些产品市场占有率达90%。公司开发的金属膜净化元件和组件曾荣获“国家发明一等奖”。承担科技部新能源汽车重大专项子课题“大功率燃料电池电堆技术研究与开发”，并参与北京市科委关于北京市燃料电池产业布局和氢能利用战略示范和远景规划，负责北京市永丰加氢站改造示范项目、并参与设计建造位于张家口氢能利用示范项目。安泰环境主要提供燃料电池的关键材料气体扩散层、金属双极板；其中多孔钛气体扩散层产品已稳定供应全球知名综合能源供应商普拉格能源公司，钛双极板2018年已实现量产，将大幅降低燃料电池成本。</w:t>
            </w:r>
          </w:p>
          <w:p>
            <w:pPr>
              <w:spacing w:line="360" w:lineRule="auto"/>
              <w:ind w:firstLine="482" w:firstLineChars="200"/>
              <w:rPr>
                <w:rFonts w:hint="eastAsia" w:eastAsia="宋体"/>
                <w:b/>
                <w:bCs/>
                <w:kern w:val="0"/>
                <w:sz w:val="24"/>
                <w:highlight w:val="none"/>
                <w:lang w:val="en-US" w:eastAsia="zh-CN"/>
              </w:rPr>
            </w:pPr>
            <w:r>
              <w:rPr>
                <w:rFonts w:hint="eastAsia"/>
                <w:b/>
                <w:bCs/>
                <w:kern w:val="0"/>
                <w:sz w:val="24"/>
                <w:highlight w:val="none"/>
                <w:lang w:val="en-US" w:eastAsia="zh-CN"/>
              </w:rPr>
              <w:t>3、安泰天龙业务情况</w:t>
            </w:r>
          </w:p>
          <w:p>
            <w:pPr>
              <w:spacing w:line="360" w:lineRule="auto"/>
              <w:ind w:firstLine="480"/>
              <w:rPr>
                <w:rFonts w:hint="eastAsia"/>
                <w:kern w:val="0"/>
                <w:sz w:val="24"/>
                <w:highlight w:val="none"/>
              </w:rPr>
            </w:pPr>
            <w:r>
              <w:rPr>
                <w:rFonts w:hint="eastAsia"/>
                <w:kern w:val="0"/>
                <w:sz w:val="24"/>
                <w:highlight w:val="none"/>
                <w:lang w:val="en-US" w:eastAsia="zh-CN"/>
              </w:rPr>
              <w:t>2015年</w:t>
            </w:r>
            <w:r>
              <w:rPr>
                <w:rFonts w:hint="eastAsia"/>
                <w:kern w:val="0"/>
                <w:sz w:val="24"/>
                <w:highlight w:val="none"/>
              </w:rPr>
              <w:t>公司以总投资10.36亿元收购钨钼行业重要企业北京天龙钨钼科技股份有限公司的100%股权，同时将公司难熔材料业务资产注入该企业，并引入市场化经营机制和团队，通过创新模式的探索，突破现有的体制机制，从而激发企业活力。在该项目实施的同时，通过推动实施“管理层与核心骨干参与认购公司非公开发行股票的股权投资计划”，在完善考核激励机制、稳定核心团队方面起到了重要作用。该项目改革探索的成功，为公司其他主营业务板块利用自身优势、整合行业资源、实现转型发展提供经验借鉴。</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安泰天龙是安泰科技中专业从事难熔金属材料研究、制造和服务的业务单元，承接了中国钢研科技集团在这一领域六十多年不懈耕耘和北京天龙近二十年快速发展所积累的成果，是央企发挥自身优势、整合社会资源、创新发展机制的典范，为中国钨钼材料精深加工产业避免重复建设、杜绝恶性竞争、形成发展合力、走向国际高端做出了卓越贡献。</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安泰天龙作为国内钨钼材料精深加工领域的领军企业，产品服务</w:t>
            </w:r>
          </w:p>
          <w:p>
            <w:pPr>
              <w:spacing w:line="360" w:lineRule="auto"/>
              <w:rPr>
                <w:rFonts w:hint="eastAsia"/>
                <w:kern w:val="0"/>
                <w:sz w:val="24"/>
                <w:highlight w:val="none"/>
                <w:lang w:val="en-US" w:eastAsia="zh-CN"/>
              </w:rPr>
            </w:pPr>
            <w:r>
              <w:rPr>
                <w:rFonts w:hint="eastAsia"/>
                <w:kern w:val="0"/>
                <w:sz w:val="24"/>
                <w:highlight w:val="none"/>
                <w:lang w:val="en-US" w:eastAsia="zh-CN"/>
              </w:rPr>
              <w:t>国内和全球高端市场和大科技工程。产品主要应用于航空航天、军工、核电、太阳能、半导体、电力电子、高端医疗装备、新能源汽车等领域。</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航空航天方面，钨、钼精深加工产品用于飞机、火箭的推进系统中，以保证机械系统良好的耐腐蚀性，同时能降低能耗。</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医疗器械方面，利用钨基高比重合金对X射线的强衰减能力，可将钨、钼精深加工产品用做各种放射性源的屏蔽元件或容器。</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 xml:space="preserve">蓝宝石长晶炉热场方面，利用钨、钼材料的高熔点和耐热性能，可将钨、钼精深加工产品用蓝宝石长晶炉热场生产蓝宝石。 </w:t>
            </w:r>
          </w:p>
          <w:p>
            <w:pPr>
              <w:spacing w:line="360" w:lineRule="auto"/>
              <w:ind w:firstLine="480" w:firstLineChars="200"/>
              <w:rPr>
                <w:rFonts w:hint="eastAsia"/>
                <w:kern w:val="0"/>
                <w:sz w:val="24"/>
                <w:highlight w:val="none"/>
                <w:lang w:val="en-US" w:eastAsia="zh-CN"/>
              </w:rPr>
            </w:pPr>
            <w:r>
              <w:rPr>
                <w:rFonts w:hint="eastAsia"/>
                <w:kern w:val="0"/>
                <w:sz w:val="24"/>
                <w:highlight w:val="none"/>
                <w:lang w:val="en-US" w:eastAsia="zh-CN"/>
              </w:rPr>
              <w:t>钨电极及高压开关方面，利用钨电极起弧性能好，弧柱稳定性高，电极烧损率小的特点，可将钨铜合金用作高中压开关或断路器的弧触头和真空触头，钍钨电极因起弧性能好主要应用在焊接上。</w:t>
            </w:r>
          </w:p>
          <w:p>
            <w:pPr>
              <w:spacing w:line="360" w:lineRule="auto"/>
              <w:ind w:firstLine="482" w:firstLineChars="200"/>
              <w:rPr>
                <w:rFonts w:hint="eastAsia"/>
                <w:b/>
                <w:bCs/>
                <w:kern w:val="0"/>
                <w:sz w:val="24"/>
                <w:highlight w:val="none"/>
                <w:lang w:val="en-US" w:eastAsia="zh-CN"/>
              </w:rPr>
            </w:pPr>
            <w:r>
              <w:rPr>
                <w:rFonts w:hint="eastAsia"/>
                <w:b/>
                <w:bCs/>
                <w:kern w:val="0"/>
                <w:sz w:val="24"/>
                <w:highlight w:val="none"/>
                <w:lang w:val="en-US" w:eastAsia="zh-CN"/>
              </w:rPr>
              <w:t>4、河冶科技科技业务情况</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河冶科技是公司控股的中外合资股份制企业，主要股东有安泰科技、日本住友商事株式会社、中国钢研科技集团有限公司等。</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河冶科技产品按材料类别分为刀具材料（粉末、喷射、传统）、高端模具材料、关键零部件材料三大类；按产品形态分为银亮棒材、异型材、丝材以及锻件等八个系列近千个规格，并可根据顾客需要提供锻制、挤压、焊接类近终成型刀具或零部件毛坯。河冶科技材料产品广泛用于机床工具、模具、汽车、航空、船舶、军工、冶金、汽轮机等行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b/>
                <w:bCs/>
                <w:kern w:val="0"/>
                <w:sz w:val="24"/>
                <w:highlight w:val="none"/>
                <w:lang w:val="en-US" w:eastAsia="zh-CN"/>
              </w:rPr>
            </w:pPr>
            <w:r>
              <w:rPr>
                <w:rFonts w:hint="eastAsia"/>
                <w:b/>
                <w:bCs/>
                <w:kern w:val="0"/>
                <w:sz w:val="24"/>
                <w:highlight w:val="none"/>
                <w:lang w:val="en-US" w:eastAsia="zh-CN"/>
              </w:rPr>
              <w:t>5、公司稀土资产注入事项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kern w:val="0"/>
                <w:sz w:val="24"/>
                <w:highlight w:val="none"/>
                <w:lang w:val="en-US" w:eastAsia="zh-CN"/>
              </w:rPr>
            </w:pPr>
            <w:r>
              <w:rPr>
                <w:rFonts w:hint="eastAsia"/>
                <w:kern w:val="0"/>
                <w:sz w:val="24"/>
                <w:highlight w:val="none"/>
                <w:lang w:val="en-US" w:eastAsia="zh-CN"/>
              </w:rPr>
              <w:t>中国钢研科技集团有限公司（以下简称“中国钢研”）于2015年7月9日承诺争取在2016年12月底之前完成重组并将其拥有的“山东钢研中铝稀土集团”的控股权通过合法程序、适当方式，以及公平合理的市场价格注入本公司。2016年12月7日，本公司收到控股股东之《中国钢研科技集团有限公司关于变更向安泰科技股份有限公司注入稀土矿业务资产部分承诺内容的函》，中国钢研经审慎分析，为保障中小股东利益，调整注入稀土矿业务资产部分承诺内容，即调整为“承诺在2017年12月31日前完成山东稀土控股权注入的决策程序”。2018年12月10日，公司再次收到控股股东之《中国钢研科技集团有限公司关于再次变更向安泰科技股份有限公司注入稀土矿业务资产部分承诺内容的函》，再次调整注入安泰科技稀土矿业务资产的部分承诺内容，即调整为“承诺在2019年10月31日前完成山东稀土控股权注入的决策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kern w:val="0"/>
                <w:sz w:val="24"/>
                <w:highlight w:val="none"/>
                <w:lang w:val="en-US" w:eastAsia="zh-CN"/>
              </w:rPr>
            </w:pPr>
            <w:r>
              <w:rPr>
                <w:rFonts w:hint="eastAsia"/>
                <w:kern w:val="0"/>
                <w:sz w:val="24"/>
                <w:highlight w:val="none"/>
                <w:lang w:val="en-US" w:eastAsia="zh-CN"/>
              </w:rPr>
              <w:t>截至目前，涉及稀土资产注入的各项工作，如地方政府洽商、股东沟通、稀土分离冶炼工艺贯通、业务梳理等事项在过去两年中均全面加紧推进，并取得良好进展；目前已取得现有-160米以上采矿权主体资格变更批复许可，取得划定矿区范围批复；2018年10月31日，山东省自然资源厅发布矿业权市场基准价的通知，明确了市场基准价。2019年以来，公司及控股公司中国钢研积极落实资产注入事项，分别成立工作小组推进此项工作，3月份公司工作小组开始组织尽调、审计、评估工作，截至5月底尽调初步结论已完成。后续工作，为保护中小投资者利益，根据尽调结果，经与控股股东协商一致，然后确定资产注入的方式；同时，尽快推进山东省自然资源厅指定的采矿权评估机构进行评估定价，然后缴纳矿业权价款；申请国家环保部门对《关于环境影响评价报告书》、《自然资源部关于地质环境保护与土地复垦方案》等文件的批复；办理山东省自然资源厅申请核发深部采矿权证等一系列相关手续。但因涉及国家部委和地方政府委办局的管理事项，其时间进度存在较大不确定性。中国钢研与安泰科技将随时公告该事项进展情况。</w:t>
            </w:r>
          </w:p>
          <w:p>
            <w:pPr>
              <w:spacing w:line="360" w:lineRule="auto"/>
              <w:ind w:firstLine="482" w:firstLineChars="200"/>
              <w:rPr>
                <w:rFonts w:hint="eastAsia"/>
                <w:b/>
                <w:bCs/>
                <w:kern w:val="0"/>
                <w:sz w:val="24"/>
                <w:highlight w:val="none"/>
              </w:rPr>
            </w:pPr>
            <w:r>
              <w:rPr>
                <w:rFonts w:hint="eastAsia"/>
                <w:b/>
                <w:bCs/>
                <w:kern w:val="0"/>
                <w:sz w:val="24"/>
                <w:highlight w:val="none"/>
                <w:lang w:val="en-US" w:eastAsia="zh-CN"/>
              </w:rPr>
              <w:t>6</w:t>
            </w:r>
            <w:r>
              <w:rPr>
                <w:rFonts w:hint="eastAsia"/>
                <w:b/>
                <w:bCs/>
                <w:kern w:val="0"/>
                <w:sz w:val="24"/>
                <w:highlight w:val="none"/>
              </w:rPr>
              <w:t>、磁性材料及制品业务</w:t>
            </w:r>
          </w:p>
          <w:p>
            <w:pPr>
              <w:spacing w:line="360" w:lineRule="auto"/>
              <w:ind w:firstLine="480" w:firstLineChars="200"/>
              <w:rPr>
                <w:rFonts w:hint="eastAsia"/>
                <w:kern w:val="0"/>
                <w:sz w:val="24"/>
                <w:highlight w:val="none"/>
                <w:lang w:val="en-US" w:eastAsia="zh-CN"/>
              </w:rPr>
            </w:pPr>
            <w:r>
              <w:rPr>
                <w:rFonts w:hint="eastAsia"/>
                <w:kern w:val="0"/>
                <w:sz w:val="24"/>
                <w:highlight w:val="none"/>
              </w:rPr>
              <w:t>稀土永磁材料及制品是安泰科技磁材业务的重要组成部分，也是公司的核心业务之一</w:t>
            </w:r>
            <w:r>
              <w:rPr>
                <w:rFonts w:hint="eastAsia"/>
                <w:kern w:val="0"/>
                <w:sz w:val="24"/>
                <w:highlight w:val="none"/>
                <w:lang w:eastAsia="zh-CN"/>
              </w:rPr>
              <w:t>，</w:t>
            </w:r>
            <w:r>
              <w:rPr>
                <w:rFonts w:hint="eastAsia"/>
                <w:kern w:val="0"/>
                <w:sz w:val="24"/>
                <w:highlight w:val="none"/>
              </w:rPr>
              <w:t>公司磁性材料及制品主要应用于计算机、消费电子、各种电机、汽车</w:t>
            </w:r>
            <w:r>
              <w:rPr>
                <w:rFonts w:hint="eastAsia"/>
                <w:kern w:val="0"/>
                <w:sz w:val="24"/>
                <w:highlight w:val="none"/>
                <w:lang w:eastAsia="zh-CN"/>
              </w:rPr>
              <w:t>、</w:t>
            </w:r>
            <w:r>
              <w:rPr>
                <w:rFonts w:hint="eastAsia"/>
                <w:kern w:val="0"/>
                <w:sz w:val="24"/>
                <w:highlight w:val="none"/>
                <w:lang w:val="en-US" w:eastAsia="zh-CN"/>
              </w:rPr>
              <w:t>高端音响</w:t>
            </w:r>
            <w:r>
              <w:rPr>
                <w:rFonts w:hint="eastAsia"/>
                <w:kern w:val="0"/>
                <w:sz w:val="24"/>
                <w:highlight w:val="none"/>
              </w:rPr>
              <w:t>等中高端市场。为进一步提高产品档次和市场竞争力，</w:t>
            </w:r>
            <w:r>
              <w:rPr>
                <w:rFonts w:hint="eastAsia"/>
                <w:kern w:val="0"/>
                <w:sz w:val="24"/>
                <w:highlight w:val="none"/>
                <w:lang w:val="en-US" w:eastAsia="zh-CN"/>
              </w:rPr>
              <w:t>2013年经公司董事会同意在公司空港产业园实施“新能源汽车用高性能稀土永磁制品产能扩大项目”，项目实施后增加烧结钕铁硼生产能力500吨/年，2016年该项目建设全面完成，并已进入生产状态。公司稀土永磁制品产能约2500-3000吨/年。目前，公司钕铁硼磁性材料已具备较强的产品开发能力、较强的市场开拓能力，所生产的高端钕铁硼磁性材料已经应用在高档消费电子（包括 VCM）、工业电机和汽车等重要领域，并取得了许多重要用户行业、国际主流客户的认证。</w:t>
            </w:r>
          </w:p>
          <w:p>
            <w:pPr>
              <w:spacing w:line="360" w:lineRule="auto"/>
              <w:ind w:firstLine="482" w:firstLineChars="200"/>
              <w:rPr>
                <w:rFonts w:hint="eastAsia"/>
                <w:b/>
                <w:bCs/>
                <w:sz w:val="24"/>
                <w:szCs w:val="28"/>
                <w:highlight w:val="none"/>
                <w:lang w:val="en-US" w:eastAsia="zh-CN"/>
              </w:rPr>
            </w:pPr>
            <w:r>
              <w:rPr>
                <w:rFonts w:hint="eastAsia"/>
                <w:b/>
                <w:bCs/>
                <w:sz w:val="24"/>
                <w:szCs w:val="28"/>
                <w:highlight w:val="none"/>
                <w:lang w:val="en-US" w:eastAsia="zh-CN"/>
              </w:rPr>
              <w:t>7、安泰（霸州）特种粉末领域业务</w:t>
            </w:r>
          </w:p>
          <w:p>
            <w:pPr>
              <w:spacing w:line="360" w:lineRule="auto"/>
              <w:ind w:firstLine="480" w:firstLineChars="200"/>
              <w:rPr>
                <w:rFonts w:hint="eastAsia"/>
                <w:sz w:val="24"/>
                <w:szCs w:val="28"/>
                <w:highlight w:val="none"/>
                <w:lang w:val="en-US" w:eastAsia="zh-CN"/>
              </w:rPr>
            </w:pPr>
            <w:r>
              <w:rPr>
                <w:rFonts w:hint="eastAsia"/>
                <w:sz w:val="24"/>
                <w:szCs w:val="28"/>
                <w:highlight w:val="none"/>
                <w:lang w:val="en-US" w:eastAsia="zh-CN"/>
              </w:rPr>
              <w:t>根据公司改革调整及业务发展需要，结合国家“京津冀一体化”发展战略，基于自身在特种雾化合金粉末领域长期积累的技术优势以及市场品牌基础，公司整合社会资源，结合霸州当地资源禀赋、成本优势以及成熟的产业配套优势，对金属制粉业务重新布局，在河北霸州成立合资企业，嫁接民营资本，同时引入核心骨干持股，创新机制，推动产业突围发展。安泰（霸州）特粉公司持股比例50%，主要聚焦具有产品特色和一定规模的软磁粉末、MIM不锈钢粉末、金刚石工具胎体粉末、触媒粉末等产品，力争成为国内先进、国际知名的一流高端特种合金粉末制备商以及应用方案的提供者。</w:t>
            </w:r>
          </w:p>
          <w:p>
            <w:pPr>
              <w:spacing w:line="360" w:lineRule="auto"/>
              <w:ind w:firstLine="482" w:firstLineChars="200"/>
              <w:rPr>
                <w:b/>
                <w:bCs/>
                <w:kern w:val="0"/>
                <w:sz w:val="24"/>
              </w:rPr>
            </w:pPr>
            <w:r>
              <w:rPr>
                <w:rFonts w:hint="eastAsia"/>
                <w:b/>
                <w:bCs/>
                <w:sz w:val="24"/>
                <w:szCs w:val="28"/>
                <w:highlight w:val="none"/>
                <w:lang w:val="en-US" w:eastAsia="zh-CN"/>
              </w:rPr>
              <w:t>8、关于</w:t>
            </w:r>
            <w:r>
              <w:rPr>
                <w:b/>
                <w:bCs/>
                <w:kern w:val="0"/>
                <w:sz w:val="24"/>
              </w:rPr>
              <w:t>公司</w:t>
            </w:r>
            <w:r>
              <w:rPr>
                <w:rFonts w:hint="eastAsia"/>
                <w:b/>
                <w:bCs/>
                <w:kern w:val="0"/>
                <w:sz w:val="24"/>
                <w:lang w:eastAsia="zh-CN"/>
              </w:rPr>
              <w:t>焊接</w:t>
            </w:r>
            <w:r>
              <w:rPr>
                <w:b/>
                <w:bCs/>
                <w:kern w:val="0"/>
                <w:sz w:val="24"/>
              </w:rPr>
              <w:t>业务</w:t>
            </w:r>
          </w:p>
          <w:p>
            <w:pPr>
              <w:spacing w:line="360" w:lineRule="auto"/>
              <w:ind w:firstLine="480"/>
              <w:rPr>
                <w:rFonts w:hint="eastAsia"/>
                <w:kern w:val="0"/>
                <w:sz w:val="24"/>
              </w:rPr>
            </w:pPr>
            <w:r>
              <w:rPr>
                <w:rFonts w:hint="eastAsia"/>
                <w:kern w:val="0"/>
                <w:sz w:val="24"/>
              </w:rPr>
              <w:t>2006年8月，为更快实现国际市场拓展，增强核心技术实力，天津三英与香港颖升及江苏江美达成战略合作协议，合资成立靖江三英焊业发展有限公司，主要定位在江阴地区造船客户集中区域投资生产和销售药芯焊丝等产品。2011年，公司收购天津三英后，靖江三英间接成为公司控股子公司。靖江三英成立期间，其药芯焊丝产品已成功配套江阴区主要造船企业，对强化天津三英与江阴区主要船厂的战略合作、拓展天津三英市场等方面作出重要贡献。</w:t>
            </w:r>
          </w:p>
          <w:p>
            <w:pPr>
              <w:spacing w:line="360" w:lineRule="auto"/>
              <w:ind w:firstLine="480"/>
              <w:rPr>
                <w:rFonts w:hint="default" w:ascii="Times New Roman" w:hAnsi="Times New Roman" w:eastAsia="宋体" w:cs="Times New Roman"/>
                <w:b w:val="0"/>
                <w:bCs/>
                <w:color w:val="000000"/>
                <w:sz w:val="24"/>
                <w:szCs w:val="24"/>
                <w:highlight w:val="none"/>
                <w:lang w:val="en-US" w:eastAsia="zh-CN"/>
              </w:rPr>
            </w:pPr>
            <w:r>
              <w:rPr>
                <w:rFonts w:hint="eastAsia"/>
                <w:kern w:val="0"/>
                <w:sz w:val="24"/>
              </w:rPr>
              <w:t>近年，受外部造船行业持续低迷和靖江三英目标客户经营状况下滑的影响，导致其内部产能利用不足、成本大幅上升，连续数年呈现亏损状况，其战略价值逐步丧失。因此，为贯彻公司聚焦主业、强体瘦身的转型调整要求和落实提质增效、风险防控的需要，优化天津三英股权结构，提升资产质量，突出主业经营，提升公司资产优良率及持续经营能力，2018年2月13日，公司下属子公司天津三英将其合法持有的靖江三英55%股权及300万元债权在北京产权交易所挂牌，公开征集受让方，转让底价为300.396万元。2018年3月16日，经北京产权交易所确认，靖江市宏科机械制造有限公司以300.396万元的价格摘牌受让靖江三英55%股权及300万元债权。</w:t>
            </w:r>
            <w:r>
              <w:rPr>
                <w:rFonts w:hint="default" w:ascii="Times New Roman" w:hAnsi="Times New Roman" w:eastAsia="宋体" w:cs="Times New Roman"/>
                <w:b w:val="0"/>
                <w:bCs/>
                <w:color w:val="000000"/>
                <w:sz w:val="24"/>
                <w:szCs w:val="24"/>
                <w:highlight w:val="none"/>
                <w:lang w:val="en-US" w:eastAsia="zh-CN"/>
              </w:rPr>
              <w:t>3月23日，天津三英与靖江宏科签署了《产权交易合同》。3月28日，天津三英收到北京产权交易所出具的《产权交易凭证》，并</w:t>
            </w:r>
            <w:r>
              <w:rPr>
                <w:rFonts w:hint="eastAsia" w:ascii="Times New Roman" w:hAnsi="Times New Roman" w:eastAsia="宋体" w:cs="Times New Roman"/>
                <w:b w:val="0"/>
                <w:bCs/>
                <w:color w:val="000000"/>
                <w:sz w:val="24"/>
                <w:szCs w:val="24"/>
                <w:highlight w:val="none"/>
                <w:lang w:val="en-US" w:eastAsia="zh-CN"/>
              </w:rPr>
              <w:t>于</w:t>
            </w:r>
            <w:r>
              <w:rPr>
                <w:rFonts w:hint="default" w:ascii="Times New Roman" w:hAnsi="Times New Roman" w:eastAsia="宋体" w:cs="Times New Roman"/>
                <w:b w:val="0"/>
                <w:bCs/>
                <w:color w:val="000000"/>
                <w:sz w:val="24"/>
                <w:szCs w:val="24"/>
                <w:highlight w:val="none"/>
                <w:lang w:val="en-US" w:eastAsia="zh-CN"/>
              </w:rPr>
              <w:t>3月31日收到全部交易价款。6月12日，靖江三英完成工商变更</w:t>
            </w:r>
            <w:r>
              <w:rPr>
                <w:rFonts w:hint="eastAsia" w:ascii="Times New Roman" w:hAnsi="Times New Roman" w:eastAsia="宋体" w:cs="Times New Roman"/>
                <w:b w:val="0"/>
                <w:bCs/>
                <w:color w:val="000000"/>
                <w:sz w:val="24"/>
                <w:szCs w:val="24"/>
                <w:highlight w:val="none"/>
                <w:lang w:val="en-US" w:eastAsia="zh-CN"/>
              </w:rPr>
              <w:t>，标志着本项目工作全部顺利完成。</w:t>
            </w:r>
          </w:p>
          <w:p>
            <w:pPr>
              <w:spacing w:line="360" w:lineRule="auto"/>
              <w:ind w:firstLine="480" w:firstLineChars="200"/>
              <w:rPr>
                <w:kern w:val="0"/>
                <w:sz w:val="24"/>
                <w:highlight w:val="none"/>
              </w:rPr>
            </w:pPr>
            <w:r>
              <w:rPr>
                <w:kern w:val="0"/>
                <w:sz w:val="24"/>
                <w:highlight w:val="none"/>
              </w:rPr>
              <w:t>本次接待过程中，公司与投资者进行了交流与沟通，严格依照《信息披露管理制度》等规定执行，保证信息披露的真实、准确、完整、及时、公平，未出现未公开重大信息泄露等情况，同时已按深交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bCs/>
                <w:iCs/>
                <w:sz w:val="24"/>
                <w:highlight w:val="none"/>
              </w:rPr>
            </w:pPr>
            <w:r>
              <w:rPr>
                <w:bCs/>
                <w:iCs/>
                <w:sz w:val="24"/>
                <w:highlight w:val="none"/>
              </w:rPr>
              <w:t>附件清单（如有）</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公司简介（</w:t>
            </w:r>
            <w:r>
              <w:rPr>
                <w:rFonts w:hint="eastAsia"/>
                <w:bCs/>
                <w:iCs/>
                <w:sz w:val="24"/>
                <w:highlight w:val="none"/>
                <w:lang w:val="en-US" w:eastAsia="zh-CN"/>
              </w:rPr>
              <w:t>摘自</w:t>
            </w:r>
            <w:r>
              <w:rPr>
                <w:bCs/>
                <w:iCs/>
                <w:sz w:val="24"/>
                <w:highlight w:val="none"/>
              </w:rPr>
              <w:t>公司网站</w:t>
            </w:r>
            <w:r>
              <w:rPr>
                <w:bCs/>
                <w:iCs/>
                <w:sz w:val="24"/>
                <w:highlight w:val="none"/>
              </w:rPr>
              <w:fldChar w:fldCharType="begin"/>
            </w:r>
            <w:r>
              <w:rPr>
                <w:bCs/>
                <w:iCs/>
                <w:sz w:val="24"/>
                <w:highlight w:val="none"/>
              </w:rPr>
              <w:instrText xml:space="preserve"> HYPERLINK "http://www.atmcn.com" </w:instrText>
            </w:r>
            <w:r>
              <w:rPr>
                <w:bCs/>
                <w:iCs/>
                <w:sz w:val="24"/>
                <w:highlight w:val="none"/>
              </w:rPr>
              <w:fldChar w:fldCharType="separate"/>
            </w:r>
            <w:r>
              <w:rPr>
                <w:rStyle w:val="9"/>
                <w:bCs/>
                <w:iCs/>
                <w:color w:val="auto"/>
                <w:sz w:val="24"/>
                <w:highlight w:val="none"/>
              </w:rPr>
              <w:t>www.atmcn.com</w:t>
            </w:r>
            <w:r>
              <w:rPr>
                <w:bCs/>
                <w:iCs/>
                <w:sz w:val="24"/>
                <w:highlight w:val="none"/>
              </w:rPr>
              <w:fldChar w:fldCharType="end"/>
            </w:r>
            <w:r>
              <w:rPr>
                <w:rFonts w:hint="eastAsia"/>
                <w:bCs/>
                <w:iCs/>
                <w:sz w:val="24"/>
                <w:highlight w:val="none"/>
                <w:lang w:val="en-US" w:eastAsia="zh-CN"/>
              </w:rPr>
              <w:t>的相关业务介绍</w:t>
            </w:r>
            <w:r>
              <w:rPr>
                <w:bCs/>
                <w:i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bCs/>
                <w:iCs/>
                <w:sz w:val="24"/>
                <w:highlight w:val="none"/>
              </w:rPr>
            </w:pPr>
            <w:r>
              <w:rPr>
                <w:rFonts w:hint="eastAsia"/>
                <w:bCs/>
                <w:iCs/>
                <w:sz w:val="24"/>
                <w:highlight w:val="none"/>
                <w:lang w:val="en-US" w:eastAsia="zh-CN"/>
              </w:rPr>
              <w:t>披露</w:t>
            </w:r>
            <w:r>
              <w:rPr>
                <w:bCs/>
                <w:iCs/>
                <w:sz w:val="24"/>
                <w:highlight w:val="none"/>
              </w:rPr>
              <w:t>日期</w:t>
            </w:r>
          </w:p>
        </w:tc>
        <w:tc>
          <w:tcPr>
            <w:tcW w:w="7322" w:type="dxa"/>
            <w:tcBorders>
              <w:top w:val="single" w:color="auto" w:sz="4" w:space="0"/>
              <w:left w:val="single" w:color="auto" w:sz="4" w:space="0"/>
              <w:bottom w:val="single" w:color="auto" w:sz="4" w:space="0"/>
              <w:right w:val="single" w:color="auto" w:sz="4" w:space="0"/>
            </w:tcBorders>
            <w:vAlign w:val="top"/>
          </w:tcPr>
          <w:p>
            <w:pPr>
              <w:spacing w:line="360" w:lineRule="auto"/>
              <w:rPr>
                <w:bCs/>
                <w:iCs/>
                <w:sz w:val="24"/>
                <w:highlight w:val="none"/>
              </w:rPr>
            </w:pPr>
            <w:r>
              <w:rPr>
                <w:bCs/>
                <w:iCs/>
                <w:sz w:val="24"/>
                <w:highlight w:val="none"/>
              </w:rPr>
              <w:t>201</w:t>
            </w:r>
            <w:r>
              <w:rPr>
                <w:rFonts w:hint="eastAsia"/>
                <w:bCs/>
                <w:iCs/>
                <w:sz w:val="24"/>
                <w:highlight w:val="none"/>
                <w:lang w:val="en-US" w:eastAsia="zh-CN"/>
              </w:rPr>
              <w:t>9</w:t>
            </w:r>
            <w:r>
              <w:rPr>
                <w:bCs/>
                <w:iCs/>
                <w:sz w:val="24"/>
                <w:highlight w:val="none"/>
              </w:rPr>
              <w:t>年</w:t>
            </w:r>
            <w:r>
              <w:rPr>
                <w:rFonts w:hint="eastAsia"/>
                <w:bCs/>
                <w:iCs/>
                <w:sz w:val="24"/>
                <w:highlight w:val="none"/>
                <w:lang w:val="en-US" w:eastAsia="zh-CN"/>
              </w:rPr>
              <w:t>6</w:t>
            </w:r>
            <w:r>
              <w:rPr>
                <w:bCs/>
                <w:iCs/>
                <w:sz w:val="24"/>
                <w:highlight w:val="none"/>
              </w:rPr>
              <w:t>月</w:t>
            </w:r>
            <w:r>
              <w:rPr>
                <w:rFonts w:hint="eastAsia"/>
                <w:bCs/>
                <w:iCs/>
                <w:sz w:val="24"/>
                <w:highlight w:val="none"/>
                <w:lang w:val="en-US" w:eastAsia="zh-CN"/>
              </w:rPr>
              <w:t>5</w:t>
            </w:r>
            <w:r>
              <w:rPr>
                <w:bCs/>
                <w:iCs/>
                <w:sz w:val="24"/>
                <w:highlight w:val="none"/>
              </w:rPr>
              <w:t>日</w:t>
            </w:r>
          </w:p>
        </w:tc>
      </w:tr>
    </w:tbl>
    <w:p/>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roman"/>
    <w:pitch w:val="default"/>
    <w:sig w:usb0="E0002EFF" w:usb1="C000785B"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Bembo">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E5F82"/>
    <w:rsid w:val="0247309C"/>
    <w:rsid w:val="028909BA"/>
    <w:rsid w:val="02D817A3"/>
    <w:rsid w:val="03055D87"/>
    <w:rsid w:val="035D650A"/>
    <w:rsid w:val="038F2C36"/>
    <w:rsid w:val="044F12AB"/>
    <w:rsid w:val="081D450A"/>
    <w:rsid w:val="09333F26"/>
    <w:rsid w:val="0CAA4C53"/>
    <w:rsid w:val="0DF56D05"/>
    <w:rsid w:val="10D34D09"/>
    <w:rsid w:val="134C65D3"/>
    <w:rsid w:val="14814475"/>
    <w:rsid w:val="156A2A07"/>
    <w:rsid w:val="17C32106"/>
    <w:rsid w:val="1DDC5758"/>
    <w:rsid w:val="1E737FB1"/>
    <w:rsid w:val="205040CE"/>
    <w:rsid w:val="2068067E"/>
    <w:rsid w:val="211F3DFC"/>
    <w:rsid w:val="244850FE"/>
    <w:rsid w:val="274E5F82"/>
    <w:rsid w:val="28A97DB0"/>
    <w:rsid w:val="293621FD"/>
    <w:rsid w:val="2A813F8A"/>
    <w:rsid w:val="2C763504"/>
    <w:rsid w:val="2C8809FB"/>
    <w:rsid w:val="2E522C15"/>
    <w:rsid w:val="2EBA41E4"/>
    <w:rsid w:val="30DD2369"/>
    <w:rsid w:val="30ED3589"/>
    <w:rsid w:val="325A2AFD"/>
    <w:rsid w:val="348727E4"/>
    <w:rsid w:val="35DE3E2F"/>
    <w:rsid w:val="38E81805"/>
    <w:rsid w:val="3C822C00"/>
    <w:rsid w:val="3DAF1992"/>
    <w:rsid w:val="401C0D0B"/>
    <w:rsid w:val="41741B70"/>
    <w:rsid w:val="43EB53CA"/>
    <w:rsid w:val="46DC592E"/>
    <w:rsid w:val="474A6FD5"/>
    <w:rsid w:val="4A957F38"/>
    <w:rsid w:val="4AD5306B"/>
    <w:rsid w:val="4BFF143B"/>
    <w:rsid w:val="4C242847"/>
    <w:rsid w:val="4C605035"/>
    <w:rsid w:val="4D0E6C0E"/>
    <w:rsid w:val="4E8673BB"/>
    <w:rsid w:val="54291DD1"/>
    <w:rsid w:val="5543531D"/>
    <w:rsid w:val="573C5734"/>
    <w:rsid w:val="576E0A01"/>
    <w:rsid w:val="57733A20"/>
    <w:rsid w:val="593F4B04"/>
    <w:rsid w:val="5B1F5247"/>
    <w:rsid w:val="5CA23B87"/>
    <w:rsid w:val="5D0F5A4C"/>
    <w:rsid w:val="62762D19"/>
    <w:rsid w:val="632C764E"/>
    <w:rsid w:val="672C74D4"/>
    <w:rsid w:val="672E23DB"/>
    <w:rsid w:val="6B110397"/>
    <w:rsid w:val="6B7C318A"/>
    <w:rsid w:val="6C300228"/>
    <w:rsid w:val="6CA72073"/>
    <w:rsid w:val="6CDF413F"/>
    <w:rsid w:val="6E233647"/>
    <w:rsid w:val="6E2470AB"/>
    <w:rsid w:val="70F36C2A"/>
    <w:rsid w:val="7150505B"/>
    <w:rsid w:val="71DD6F7F"/>
    <w:rsid w:val="73602F73"/>
    <w:rsid w:val="740C6D85"/>
    <w:rsid w:val="79DF2D2C"/>
    <w:rsid w:val="7AB95EB1"/>
    <w:rsid w:val="7BC635A1"/>
    <w:rsid w:val="7DDC2A32"/>
    <w:rsid w:val="7F0A6E0D"/>
    <w:rsid w:val="7F17259D"/>
    <w:rsid w:val="7FE229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sz w:val="18"/>
      <w:szCs w:val="20"/>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6">
    <w:name w:val="Char Char5"/>
    <w:basedOn w:val="1"/>
    <w:link w:val="5"/>
    <w:qFormat/>
    <w:uiPriority w:val="0"/>
    <w:pPr>
      <w:tabs>
        <w:tab w:val="left" w:pos="1320"/>
      </w:tabs>
      <w:ind w:left="425" w:hanging="425"/>
    </w:pPr>
    <w:rPr>
      <w:sz w:val="18"/>
      <w:szCs w:val="20"/>
    </w:rPr>
  </w:style>
  <w:style w:type="character" w:styleId="7">
    <w:name w:val="page number"/>
    <w:basedOn w:val="5"/>
    <w:qFormat/>
    <w:uiPriority w:val="0"/>
  </w:style>
  <w:style w:type="character" w:styleId="8">
    <w:name w:val="FollowedHyperlink"/>
    <w:basedOn w:val="5"/>
    <w:qFormat/>
    <w:uiPriority w:val="0"/>
    <w:rPr>
      <w:color w:val="000000"/>
      <w:u w:val="none"/>
    </w:rPr>
  </w:style>
  <w:style w:type="character" w:styleId="9">
    <w:name w:val="Hyperlink"/>
    <w:basedOn w:val="5"/>
    <w:qFormat/>
    <w:uiPriority w:val="0"/>
    <w:rPr>
      <w:color w:val="000000"/>
      <w:u w:val="none"/>
    </w:rPr>
  </w:style>
  <w:style w:type="character" w:customStyle="1" w:styleId="11">
    <w:name w:val="black"/>
    <w:basedOn w:val="5"/>
    <w:qFormat/>
    <w:uiPriority w:val="0"/>
    <w:rPr>
      <w:color w:val="000000"/>
      <w:u w:val="single"/>
    </w:rPr>
  </w:style>
  <w:style w:type="character" w:customStyle="1" w:styleId="12">
    <w:name w:val="blue"/>
    <w:basedOn w:val="5"/>
    <w:qFormat/>
    <w:uiPriority w:val="0"/>
    <w:rPr>
      <w:color w:val="173EE8"/>
      <w:u w:val="single"/>
    </w:rPr>
  </w:style>
  <w:style w:type="character" w:customStyle="1" w:styleId="13">
    <w:name w:val="blue-n"/>
    <w:basedOn w:val="5"/>
    <w:qFormat/>
    <w:uiPriority w:val="0"/>
    <w:rPr>
      <w:color w:val="173EE8"/>
      <w:u w:val="none"/>
    </w:rPr>
  </w:style>
  <w:style w:type="character" w:customStyle="1" w:styleId="14">
    <w:name w:val="blue-n1"/>
    <w:basedOn w:val="5"/>
    <w:qFormat/>
    <w:uiPriority w:val="0"/>
    <w:rPr>
      <w:color w:val="000000"/>
      <w:u w:val="single"/>
    </w:rPr>
  </w:style>
  <w:style w:type="character" w:customStyle="1" w:styleId="15">
    <w:name w:val="red-n"/>
    <w:basedOn w:val="5"/>
    <w:qFormat/>
    <w:uiPriority w:val="0"/>
    <w:rPr>
      <w:color w:val="CC0000"/>
      <w:u w:val="none"/>
    </w:rPr>
  </w:style>
  <w:style w:type="character" w:customStyle="1" w:styleId="16">
    <w:name w:val="red-n1"/>
    <w:basedOn w:val="5"/>
    <w:qFormat/>
    <w:uiPriority w:val="0"/>
    <w:rPr>
      <w:color w:val="CC0000"/>
    </w:rPr>
  </w:style>
  <w:style w:type="character" w:customStyle="1" w:styleId="17">
    <w:name w:val="black-n"/>
    <w:basedOn w:val="5"/>
    <w:qFormat/>
    <w:uiPriority w:val="0"/>
    <w:rPr>
      <w:color w:val="000000"/>
      <w:u w:val="none"/>
    </w:rPr>
  </w:style>
  <w:style w:type="character" w:customStyle="1" w:styleId="18">
    <w:name w:val="black-n1"/>
    <w:basedOn w:val="5"/>
    <w:qFormat/>
    <w:uiPriority w:val="0"/>
    <w:rPr>
      <w:color w:val="000000"/>
    </w:rPr>
  </w:style>
  <w:style w:type="character" w:customStyle="1" w:styleId="19">
    <w:name w:val="red"/>
    <w:basedOn w:val="5"/>
    <w:qFormat/>
    <w:uiPriority w:val="0"/>
    <w:rPr>
      <w:color w:val="CC0000"/>
      <w:u w:val="single"/>
    </w:rPr>
  </w:style>
  <w:style w:type="character" w:customStyle="1" w:styleId="20">
    <w:name w:val="red1"/>
    <w:basedOn w:val="5"/>
    <w:qFormat/>
    <w:uiPriority w:val="0"/>
    <w:rPr>
      <w:color w:val="CC000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2017-09-08T03:14:00Z</dcterms:created>
  <dc:creator>Rico Nie</dc:creator>
  <cp:lastModifiedBy>xizhipeng</cp:lastModifiedBy>
  <dcterms:modified xsi:type="dcterms:W3CDTF">2019-06-05T00:26:02Z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