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024" w:rsidRDefault="000D1024" w:rsidP="00CC6C09">
      <w:pPr>
        <w:spacing w:beforeLines="50" w:afterLines="50" w:line="400" w:lineRule="exact"/>
        <w:rPr>
          <w:rFonts w:ascii="宋体" w:hAnsi="宋体"/>
          <w:bCs/>
          <w:iCs/>
          <w:color w:val="000000"/>
          <w:sz w:val="24"/>
        </w:rPr>
      </w:pPr>
      <w:r w:rsidRPr="00A94694">
        <w:rPr>
          <w:rFonts w:ascii="宋体" w:hAnsi="宋体" w:hint="eastAsia"/>
          <w:bCs/>
          <w:iCs/>
          <w:color w:val="000000"/>
          <w:sz w:val="24"/>
        </w:rPr>
        <w:t>证券代码：</w:t>
      </w:r>
      <w:r>
        <w:rPr>
          <w:rFonts w:ascii="宋体" w:hAnsi="宋体" w:hint="eastAsia"/>
          <w:bCs/>
          <w:iCs/>
          <w:color w:val="000000"/>
          <w:sz w:val="24"/>
        </w:rPr>
        <w:t>002426</w:t>
      </w:r>
      <w:r w:rsidRPr="00A94694">
        <w:rPr>
          <w:rFonts w:ascii="宋体" w:hAnsi="宋体" w:hint="eastAsia"/>
          <w:bCs/>
          <w:iCs/>
          <w:color w:val="000000"/>
          <w:sz w:val="24"/>
        </w:rPr>
        <w:t xml:space="preserve">       </w:t>
      </w:r>
      <w:r w:rsidR="00137DE0">
        <w:rPr>
          <w:rFonts w:ascii="宋体" w:hAnsi="宋体" w:hint="eastAsia"/>
          <w:bCs/>
          <w:iCs/>
          <w:color w:val="000000"/>
          <w:sz w:val="24"/>
        </w:rPr>
        <w:t xml:space="preserve">           </w:t>
      </w:r>
      <w:r w:rsidRPr="00A94694">
        <w:rPr>
          <w:rFonts w:ascii="宋体" w:hAnsi="宋体" w:hint="eastAsia"/>
          <w:bCs/>
          <w:iCs/>
          <w:color w:val="000000"/>
          <w:sz w:val="24"/>
        </w:rPr>
        <w:t xml:space="preserve">                  证券简称：</w:t>
      </w:r>
      <w:r>
        <w:rPr>
          <w:rFonts w:ascii="宋体" w:hAnsi="宋体" w:hint="eastAsia"/>
          <w:bCs/>
          <w:iCs/>
          <w:color w:val="000000"/>
          <w:sz w:val="24"/>
        </w:rPr>
        <w:t>胜利精密</w:t>
      </w:r>
    </w:p>
    <w:p w:rsidR="000D1024" w:rsidRDefault="000D1024" w:rsidP="00CC6C09">
      <w:pPr>
        <w:spacing w:beforeLines="100" w:afterLines="50" w:line="400" w:lineRule="exact"/>
        <w:jc w:val="center"/>
        <w:rPr>
          <w:rFonts w:ascii="宋体" w:hAnsi="宋体"/>
          <w:b/>
          <w:bCs/>
          <w:iCs/>
          <w:color w:val="000000"/>
          <w:sz w:val="32"/>
          <w:szCs w:val="32"/>
        </w:rPr>
      </w:pPr>
      <w:r>
        <w:rPr>
          <w:rFonts w:ascii="宋体" w:hAnsi="宋体" w:hint="eastAsia"/>
          <w:b/>
          <w:bCs/>
          <w:iCs/>
          <w:color w:val="000000"/>
          <w:sz w:val="32"/>
          <w:szCs w:val="32"/>
        </w:rPr>
        <w:t>苏州胜利精密制造科技股份有限公司</w:t>
      </w:r>
    </w:p>
    <w:p w:rsidR="000D1024" w:rsidRDefault="00CC6C09" w:rsidP="00CC6C09">
      <w:pPr>
        <w:spacing w:beforeLines="50" w:afterLines="50" w:line="400" w:lineRule="exact"/>
        <w:jc w:val="center"/>
        <w:rPr>
          <w:rFonts w:ascii="宋体" w:hAnsi="宋体"/>
          <w:b/>
          <w:bCs/>
          <w:iCs/>
          <w:color w:val="000000"/>
          <w:sz w:val="32"/>
          <w:szCs w:val="32"/>
        </w:rPr>
      </w:pPr>
      <w:r>
        <w:rPr>
          <w:rFonts w:ascii="宋体" w:hAnsi="宋体" w:hint="eastAsia"/>
          <w:b/>
          <w:bCs/>
          <w:iCs/>
          <w:color w:val="000000"/>
          <w:sz w:val="32"/>
          <w:szCs w:val="32"/>
        </w:rPr>
        <w:t>2019年06月04日</w:t>
      </w:r>
      <w:r w:rsidR="000D1024" w:rsidRPr="0053527F">
        <w:rPr>
          <w:rFonts w:ascii="宋体" w:hAnsi="宋体" w:hint="eastAsia"/>
          <w:b/>
          <w:bCs/>
          <w:iCs/>
          <w:color w:val="000000"/>
          <w:sz w:val="32"/>
          <w:szCs w:val="32"/>
        </w:rPr>
        <w:t>投资者关系</w:t>
      </w:r>
      <w:r w:rsidR="000D1024" w:rsidRPr="00A94694">
        <w:rPr>
          <w:rFonts w:ascii="宋体" w:hAnsi="宋体" w:hint="eastAsia"/>
          <w:b/>
          <w:bCs/>
          <w:iCs/>
          <w:color w:val="000000"/>
          <w:sz w:val="32"/>
          <w:szCs w:val="32"/>
        </w:rPr>
        <w:t>活动记录表</w:t>
      </w:r>
    </w:p>
    <w:tbl>
      <w:tblPr>
        <w:tblStyle w:val="a5"/>
        <w:tblW w:w="9390" w:type="dxa"/>
        <w:jc w:val="center"/>
        <w:tblLook w:val="01E0"/>
      </w:tblPr>
      <w:tblGrid>
        <w:gridCol w:w="1997"/>
        <w:gridCol w:w="7393"/>
      </w:tblGrid>
      <w:tr w:rsidR="000D1024" w:rsidRPr="00A94694" w:rsidTr="00270C80">
        <w:trPr>
          <w:jc w:val="center"/>
        </w:trPr>
        <w:tc>
          <w:tcPr>
            <w:tcW w:w="1997" w:type="dxa"/>
          </w:tcPr>
          <w:p w:rsidR="000D1024" w:rsidRPr="007907E7" w:rsidRDefault="000D1024" w:rsidP="00AA4318">
            <w:pPr>
              <w:spacing w:line="480" w:lineRule="atLeast"/>
              <w:rPr>
                <w:rFonts w:ascii="宋体" w:hAnsi="宋体"/>
                <w:b/>
                <w:bCs/>
                <w:iCs/>
                <w:color w:val="000000"/>
                <w:sz w:val="24"/>
              </w:rPr>
            </w:pPr>
            <w:r>
              <w:rPr>
                <w:rFonts w:ascii="宋体" w:hAnsi="宋体" w:hint="eastAsia"/>
                <w:bCs/>
                <w:iCs/>
                <w:color w:val="000000"/>
                <w:sz w:val="24"/>
              </w:rPr>
              <w:t xml:space="preserve">         </w:t>
            </w:r>
            <w:r w:rsidRPr="00A94694">
              <w:rPr>
                <w:rFonts w:ascii="宋体" w:hAnsi="宋体" w:hint="eastAsia"/>
                <w:bCs/>
                <w:iCs/>
                <w:color w:val="000000"/>
                <w:sz w:val="24"/>
              </w:rPr>
              <w:t xml:space="preserve">                                          </w:t>
            </w:r>
            <w:r w:rsidRPr="007907E7">
              <w:rPr>
                <w:rFonts w:ascii="宋体" w:hAnsi="宋体" w:hint="eastAsia"/>
                <w:b/>
                <w:bCs/>
                <w:iCs/>
                <w:color w:val="000000"/>
                <w:sz w:val="24"/>
              </w:rPr>
              <w:t>投资者关系活动类别</w:t>
            </w:r>
          </w:p>
          <w:p w:rsidR="000D1024" w:rsidRPr="007907E7" w:rsidRDefault="000D1024" w:rsidP="00AA4318">
            <w:pPr>
              <w:spacing w:line="480" w:lineRule="atLeast"/>
              <w:rPr>
                <w:rFonts w:ascii="宋体" w:hAnsi="宋体"/>
                <w:b/>
                <w:bCs/>
                <w:iCs/>
                <w:color w:val="000000"/>
                <w:sz w:val="24"/>
              </w:rPr>
            </w:pPr>
          </w:p>
        </w:tc>
        <w:tc>
          <w:tcPr>
            <w:tcW w:w="7393" w:type="dxa"/>
          </w:tcPr>
          <w:p w:rsidR="000D1024" w:rsidRPr="00354B8F" w:rsidRDefault="00BC75FF" w:rsidP="00AA4318">
            <w:pPr>
              <w:spacing w:line="480" w:lineRule="atLeast"/>
              <w:rPr>
                <w:rFonts w:ascii="宋体" w:hAnsi="宋体"/>
                <w:bCs/>
                <w:iCs/>
                <w:color w:val="000000"/>
                <w:sz w:val="24"/>
              </w:rPr>
            </w:pPr>
            <w:r w:rsidRPr="00313D8F">
              <w:rPr>
                <w:rFonts w:ascii="宋体" w:hAnsi="宋体" w:cs="宋体" w:hint="eastAsia"/>
                <w:color w:val="000000"/>
                <w:sz w:val="24"/>
              </w:rPr>
              <w:t>√</w:t>
            </w:r>
            <w:r w:rsidR="000D1024" w:rsidRPr="00354B8F">
              <w:rPr>
                <w:rFonts w:ascii="宋体" w:hAnsi="宋体" w:hint="eastAsia"/>
                <w:sz w:val="24"/>
              </w:rPr>
              <w:t xml:space="preserve">特定对象调研    </w:t>
            </w:r>
            <w:r w:rsidR="00834332">
              <w:rPr>
                <w:rFonts w:ascii="宋体" w:hAnsi="宋体" w:hint="eastAsia"/>
                <w:sz w:val="24"/>
              </w:rPr>
              <w:t xml:space="preserve">   </w:t>
            </w:r>
            <w:r w:rsidR="000D1024" w:rsidRPr="00354B8F">
              <w:rPr>
                <w:rFonts w:ascii="宋体" w:hAnsi="宋体" w:hint="eastAsia"/>
                <w:sz w:val="24"/>
              </w:rPr>
              <w:t xml:space="preserve">    </w:t>
            </w:r>
            <w:r w:rsidR="000D1024" w:rsidRPr="00354B8F">
              <w:rPr>
                <w:rFonts w:ascii="宋体" w:hAnsi="宋体" w:hint="eastAsia"/>
                <w:bCs/>
                <w:iCs/>
                <w:color w:val="000000"/>
                <w:sz w:val="24"/>
              </w:rPr>
              <w:t>□</w:t>
            </w:r>
            <w:r w:rsidR="000D1024" w:rsidRPr="00354B8F">
              <w:rPr>
                <w:rFonts w:ascii="宋体" w:hAnsi="宋体" w:hint="eastAsia"/>
                <w:sz w:val="24"/>
              </w:rPr>
              <w:t>分析师会议</w:t>
            </w:r>
          </w:p>
          <w:p w:rsidR="000D1024" w:rsidRPr="00354B8F" w:rsidRDefault="000D1024" w:rsidP="00AA4318">
            <w:pPr>
              <w:spacing w:line="480" w:lineRule="atLeast"/>
              <w:rPr>
                <w:rFonts w:ascii="宋体" w:hAnsi="宋体"/>
                <w:bCs/>
                <w:iCs/>
                <w:color w:val="000000"/>
                <w:sz w:val="24"/>
              </w:rPr>
            </w:pPr>
            <w:r w:rsidRPr="00354B8F">
              <w:rPr>
                <w:rFonts w:ascii="宋体" w:hAnsi="宋体" w:hint="eastAsia"/>
                <w:bCs/>
                <w:iCs/>
                <w:color w:val="000000"/>
                <w:sz w:val="24"/>
              </w:rPr>
              <w:t>□</w:t>
            </w:r>
            <w:r w:rsidRPr="00354B8F">
              <w:rPr>
                <w:rFonts w:ascii="宋体" w:hAnsi="宋体" w:hint="eastAsia"/>
                <w:sz w:val="24"/>
              </w:rPr>
              <w:t xml:space="preserve">媒体采访        </w:t>
            </w:r>
            <w:r w:rsidR="00834332">
              <w:rPr>
                <w:rFonts w:ascii="宋体" w:hAnsi="宋体" w:hint="eastAsia"/>
                <w:sz w:val="24"/>
              </w:rPr>
              <w:t xml:space="preserve">   </w:t>
            </w:r>
            <w:r w:rsidRPr="00354B8F">
              <w:rPr>
                <w:rFonts w:ascii="宋体" w:hAnsi="宋体" w:hint="eastAsia"/>
                <w:sz w:val="24"/>
              </w:rPr>
              <w:t xml:space="preserve">    </w:t>
            </w:r>
            <w:r w:rsidRPr="00354B8F">
              <w:rPr>
                <w:rFonts w:ascii="宋体" w:hAnsi="宋体" w:hint="eastAsia"/>
                <w:bCs/>
                <w:iCs/>
                <w:color w:val="000000"/>
                <w:sz w:val="24"/>
              </w:rPr>
              <w:t>□</w:t>
            </w:r>
            <w:r w:rsidRPr="00354B8F">
              <w:rPr>
                <w:rFonts w:ascii="宋体" w:hAnsi="宋体" w:hint="eastAsia"/>
                <w:sz w:val="24"/>
              </w:rPr>
              <w:t>业绩说明会</w:t>
            </w:r>
          </w:p>
          <w:p w:rsidR="000D1024" w:rsidRPr="00354B8F" w:rsidRDefault="000D1024" w:rsidP="00AA4318">
            <w:pPr>
              <w:spacing w:line="480" w:lineRule="atLeast"/>
              <w:rPr>
                <w:rFonts w:ascii="宋体" w:hAnsi="宋体"/>
                <w:bCs/>
                <w:iCs/>
                <w:color w:val="000000"/>
                <w:sz w:val="24"/>
              </w:rPr>
            </w:pPr>
            <w:r w:rsidRPr="00354B8F">
              <w:rPr>
                <w:rFonts w:ascii="宋体" w:hAnsi="宋体" w:hint="eastAsia"/>
                <w:bCs/>
                <w:iCs/>
                <w:color w:val="000000"/>
                <w:sz w:val="24"/>
              </w:rPr>
              <w:t>□</w:t>
            </w:r>
            <w:r w:rsidRPr="00354B8F">
              <w:rPr>
                <w:rFonts w:ascii="宋体" w:hAnsi="宋体" w:hint="eastAsia"/>
                <w:sz w:val="24"/>
              </w:rPr>
              <w:t xml:space="preserve">新闻发布会       </w:t>
            </w:r>
            <w:r w:rsidR="00834332">
              <w:rPr>
                <w:rFonts w:ascii="宋体" w:hAnsi="宋体" w:hint="eastAsia"/>
                <w:sz w:val="24"/>
              </w:rPr>
              <w:t xml:space="preserve">   </w:t>
            </w:r>
            <w:r w:rsidRPr="00354B8F">
              <w:rPr>
                <w:rFonts w:ascii="宋体" w:hAnsi="宋体" w:hint="eastAsia"/>
                <w:sz w:val="24"/>
              </w:rPr>
              <w:t xml:space="preserve">   </w:t>
            </w:r>
            <w:r w:rsidRPr="00354B8F">
              <w:rPr>
                <w:rFonts w:ascii="宋体" w:hAnsi="宋体" w:hint="eastAsia"/>
                <w:bCs/>
                <w:iCs/>
                <w:color w:val="000000"/>
                <w:sz w:val="24"/>
              </w:rPr>
              <w:t>□</w:t>
            </w:r>
            <w:r w:rsidRPr="00354B8F">
              <w:rPr>
                <w:rFonts w:ascii="宋体" w:hAnsi="宋体" w:hint="eastAsia"/>
                <w:sz w:val="24"/>
              </w:rPr>
              <w:t>路演活动</w:t>
            </w:r>
          </w:p>
          <w:p w:rsidR="000D1024" w:rsidRPr="00354B8F" w:rsidRDefault="000D1024" w:rsidP="00AA4318">
            <w:pPr>
              <w:tabs>
                <w:tab w:val="left" w:pos="3045"/>
                <w:tab w:val="center" w:pos="3199"/>
              </w:tabs>
              <w:spacing w:line="480" w:lineRule="atLeast"/>
              <w:rPr>
                <w:rFonts w:ascii="宋体" w:hAnsi="宋体"/>
                <w:bCs/>
                <w:iCs/>
                <w:color w:val="000000"/>
                <w:sz w:val="24"/>
              </w:rPr>
            </w:pPr>
            <w:r w:rsidRPr="00354B8F">
              <w:rPr>
                <w:rFonts w:ascii="宋体" w:hAnsi="宋体" w:hint="eastAsia"/>
                <w:bCs/>
                <w:iCs/>
                <w:color w:val="000000"/>
                <w:sz w:val="24"/>
              </w:rPr>
              <w:t>□</w:t>
            </w:r>
            <w:r w:rsidRPr="00354B8F">
              <w:rPr>
                <w:rFonts w:ascii="宋体" w:hAnsi="宋体" w:hint="eastAsia"/>
                <w:sz w:val="24"/>
              </w:rPr>
              <w:t>现场参观</w:t>
            </w:r>
            <w:r w:rsidRPr="00354B8F">
              <w:rPr>
                <w:rFonts w:ascii="宋体" w:hAnsi="宋体"/>
                <w:bCs/>
                <w:iCs/>
                <w:color w:val="000000"/>
                <w:sz w:val="24"/>
              </w:rPr>
              <w:tab/>
            </w:r>
          </w:p>
          <w:p w:rsidR="000D1024" w:rsidRPr="00A94694" w:rsidRDefault="000D1024" w:rsidP="00AA4318">
            <w:pPr>
              <w:tabs>
                <w:tab w:val="center" w:pos="3199"/>
              </w:tabs>
              <w:spacing w:line="480" w:lineRule="atLeast"/>
              <w:rPr>
                <w:rFonts w:ascii="宋体" w:hAnsi="宋体"/>
                <w:bCs/>
                <w:iCs/>
                <w:color w:val="000000"/>
                <w:sz w:val="24"/>
              </w:rPr>
            </w:pPr>
            <w:r w:rsidRPr="00354B8F">
              <w:rPr>
                <w:rFonts w:ascii="宋体" w:hAnsi="宋体" w:hint="eastAsia"/>
                <w:bCs/>
                <w:iCs/>
                <w:color w:val="000000"/>
                <w:sz w:val="24"/>
              </w:rPr>
              <w:t>□</w:t>
            </w:r>
            <w:r w:rsidRPr="00354B8F">
              <w:rPr>
                <w:rFonts w:ascii="宋体" w:hAnsi="宋体" w:hint="eastAsia"/>
                <w:sz w:val="24"/>
              </w:rPr>
              <w:t>其他 （</w:t>
            </w:r>
            <w:proofErr w:type="gramStart"/>
            <w:r w:rsidRPr="00354B8F">
              <w:rPr>
                <w:rFonts w:ascii="宋体" w:hAnsi="宋体" w:hint="eastAsia"/>
                <w:sz w:val="24"/>
                <w:u w:val="single"/>
              </w:rPr>
              <w:t>请文字</w:t>
            </w:r>
            <w:proofErr w:type="gramEnd"/>
            <w:r w:rsidRPr="00354B8F">
              <w:rPr>
                <w:rFonts w:ascii="宋体" w:hAnsi="宋体" w:hint="eastAsia"/>
                <w:sz w:val="24"/>
                <w:u w:val="single"/>
              </w:rPr>
              <w:t>说明其他活动内容）</w:t>
            </w:r>
          </w:p>
        </w:tc>
      </w:tr>
      <w:tr w:rsidR="000D1024" w:rsidRPr="00A94694" w:rsidTr="00270C80">
        <w:trPr>
          <w:jc w:val="center"/>
        </w:trPr>
        <w:tc>
          <w:tcPr>
            <w:tcW w:w="1997" w:type="dxa"/>
          </w:tcPr>
          <w:p w:rsidR="000D1024" w:rsidRPr="007907E7" w:rsidRDefault="000D1024" w:rsidP="00AA4318">
            <w:pPr>
              <w:spacing w:line="480" w:lineRule="atLeast"/>
              <w:rPr>
                <w:rFonts w:ascii="宋体" w:hAnsi="宋体"/>
                <w:b/>
                <w:bCs/>
                <w:iCs/>
                <w:color w:val="000000"/>
                <w:sz w:val="24"/>
              </w:rPr>
            </w:pPr>
            <w:r w:rsidRPr="007907E7">
              <w:rPr>
                <w:rFonts w:ascii="宋体" w:hAnsi="宋体" w:hint="eastAsia"/>
                <w:b/>
                <w:bCs/>
                <w:iCs/>
                <w:color w:val="000000"/>
                <w:sz w:val="24"/>
              </w:rPr>
              <w:t>参与单位名称及人员姓名</w:t>
            </w:r>
          </w:p>
        </w:tc>
        <w:tc>
          <w:tcPr>
            <w:tcW w:w="7393" w:type="dxa"/>
          </w:tcPr>
          <w:p w:rsidR="000D1024" w:rsidRDefault="00BC75FF" w:rsidP="00AA4318">
            <w:pPr>
              <w:spacing w:line="480" w:lineRule="atLeast"/>
              <w:rPr>
                <w:rFonts w:ascii="宋体" w:hAnsi="宋体"/>
                <w:bCs/>
                <w:iCs/>
                <w:color w:val="000000"/>
                <w:sz w:val="24"/>
              </w:rPr>
            </w:pPr>
            <w:r>
              <w:rPr>
                <w:rFonts w:ascii="宋体" w:hAnsi="宋体" w:hint="eastAsia"/>
                <w:bCs/>
                <w:iCs/>
                <w:color w:val="000000"/>
                <w:sz w:val="24"/>
              </w:rPr>
              <w:t>Jimmie Newton   Indus Capital Partners</w:t>
            </w:r>
          </w:p>
          <w:p w:rsidR="00BC75FF" w:rsidRDefault="00BC75FF" w:rsidP="00BC75FF">
            <w:pPr>
              <w:spacing w:line="480" w:lineRule="atLeast"/>
              <w:rPr>
                <w:rFonts w:ascii="宋体" w:hAnsi="宋体"/>
                <w:bCs/>
                <w:iCs/>
                <w:color w:val="000000"/>
                <w:sz w:val="24"/>
              </w:rPr>
            </w:pPr>
            <w:r>
              <w:rPr>
                <w:rFonts w:ascii="宋体" w:hAnsi="宋体" w:hint="eastAsia"/>
                <w:bCs/>
                <w:iCs/>
                <w:color w:val="000000"/>
                <w:sz w:val="24"/>
              </w:rPr>
              <w:t>袁锋   Indus Capital Partners</w:t>
            </w:r>
          </w:p>
          <w:p w:rsidR="00BC75FF" w:rsidRPr="00A94694" w:rsidRDefault="00BC75FF" w:rsidP="00BC75FF">
            <w:pPr>
              <w:spacing w:line="480" w:lineRule="atLeast"/>
              <w:rPr>
                <w:rFonts w:ascii="宋体" w:hAnsi="宋体"/>
                <w:bCs/>
                <w:iCs/>
                <w:color w:val="000000"/>
                <w:sz w:val="24"/>
              </w:rPr>
            </w:pPr>
            <w:r w:rsidRPr="00BC75FF">
              <w:rPr>
                <w:rFonts w:ascii="宋体" w:hAnsi="宋体" w:hint="eastAsia"/>
                <w:bCs/>
                <w:iCs/>
                <w:color w:val="000000"/>
                <w:sz w:val="24"/>
              </w:rPr>
              <w:t>徐怡如</w:t>
            </w:r>
            <w:r>
              <w:rPr>
                <w:rFonts w:ascii="宋体" w:hAnsi="宋体" w:hint="eastAsia"/>
                <w:bCs/>
                <w:iCs/>
                <w:color w:val="000000"/>
                <w:sz w:val="24"/>
              </w:rPr>
              <w:t xml:space="preserve">   Indus Capital Partners</w:t>
            </w:r>
          </w:p>
        </w:tc>
      </w:tr>
      <w:tr w:rsidR="000D1024" w:rsidRPr="00A94694" w:rsidTr="00270C80">
        <w:trPr>
          <w:jc w:val="center"/>
        </w:trPr>
        <w:tc>
          <w:tcPr>
            <w:tcW w:w="1997" w:type="dxa"/>
          </w:tcPr>
          <w:p w:rsidR="000D1024" w:rsidRPr="007907E7" w:rsidRDefault="000D1024" w:rsidP="00AA4318">
            <w:pPr>
              <w:spacing w:line="480" w:lineRule="atLeast"/>
              <w:rPr>
                <w:rFonts w:ascii="宋体" w:hAnsi="宋体"/>
                <w:b/>
                <w:bCs/>
                <w:iCs/>
                <w:color w:val="000000"/>
                <w:sz w:val="24"/>
              </w:rPr>
            </w:pPr>
            <w:r w:rsidRPr="007907E7">
              <w:rPr>
                <w:rFonts w:ascii="宋体" w:hAnsi="宋体" w:hint="eastAsia"/>
                <w:b/>
                <w:bCs/>
                <w:iCs/>
                <w:color w:val="000000"/>
                <w:sz w:val="24"/>
              </w:rPr>
              <w:t>时间</w:t>
            </w:r>
          </w:p>
        </w:tc>
        <w:tc>
          <w:tcPr>
            <w:tcW w:w="7393" w:type="dxa"/>
          </w:tcPr>
          <w:p w:rsidR="000D1024" w:rsidRPr="00A94694" w:rsidRDefault="00BC75FF" w:rsidP="00AA4318">
            <w:pPr>
              <w:spacing w:line="480" w:lineRule="atLeast"/>
              <w:rPr>
                <w:rFonts w:ascii="宋体" w:hAnsi="宋体"/>
                <w:bCs/>
                <w:iCs/>
                <w:color w:val="000000"/>
                <w:sz w:val="24"/>
              </w:rPr>
            </w:pPr>
            <w:r>
              <w:rPr>
                <w:rFonts w:ascii="宋体" w:hAnsi="宋体"/>
                <w:bCs/>
                <w:iCs/>
                <w:color w:val="000000"/>
                <w:sz w:val="24"/>
              </w:rPr>
              <w:t>2019年</w:t>
            </w:r>
            <w:r>
              <w:rPr>
                <w:rFonts w:ascii="宋体" w:hAnsi="宋体" w:hint="eastAsia"/>
                <w:bCs/>
                <w:iCs/>
                <w:color w:val="000000"/>
                <w:sz w:val="24"/>
              </w:rPr>
              <w:t>0</w:t>
            </w:r>
            <w:r>
              <w:rPr>
                <w:rFonts w:ascii="宋体" w:hAnsi="宋体"/>
                <w:bCs/>
                <w:iCs/>
                <w:color w:val="000000"/>
                <w:sz w:val="24"/>
              </w:rPr>
              <w:t>6月</w:t>
            </w:r>
            <w:r>
              <w:rPr>
                <w:rFonts w:ascii="宋体" w:hAnsi="宋体" w:hint="eastAsia"/>
                <w:bCs/>
                <w:iCs/>
                <w:color w:val="000000"/>
                <w:sz w:val="24"/>
              </w:rPr>
              <w:t>0</w:t>
            </w:r>
            <w:r>
              <w:rPr>
                <w:rFonts w:ascii="宋体" w:hAnsi="宋体"/>
                <w:bCs/>
                <w:iCs/>
                <w:color w:val="000000"/>
                <w:sz w:val="24"/>
              </w:rPr>
              <w:t>4日</w:t>
            </w:r>
            <w:r>
              <w:rPr>
                <w:rFonts w:ascii="宋体" w:hAnsi="宋体" w:hint="eastAsia"/>
                <w:bCs/>
                <w:iCs/>
                <w:color w:val="000000"/>
                <w:sz w:val="24"/>
              </w:rPr>
              <w:t xml:space="preserve">    12:30-13:30</w:t>
            </w:r>
          </w:p>
        </w:tc>
      </w:tr>
      <w:tr w:rsidR="000D1024" w:rsidRPr="00A94694" w:rsidTr="00270C80">
        <w:trPr>
          <w:jc w:val="center"/>
        </w:trPr>
        <w:tc>
          <w:tcPr>
            <w:tcW w:w="1997" w:type="dxa"/>
          </w:tcPr>
          <w:p w:rsidR="000D1024" w:rsidRPr="007907E7" w:rsidRDefault="000D1024" w:rsidP="00AA4318">
            <w:pPr>
              <w:spacing w:line="480" w:lineRule="atLeast"/>
              <w:rPr>
                <w:rFonts w:ascii="宋体" w:hAnsi="宋体"/>
                <w:b/>
                <w:bCs/>
                <w:iCs/>
                <w:color w:val="000000"/>
                <w:sz w:val="24"/>
              </w:rPr>
            </w:pPr>
            <w:r w:rsidRPr="007907E7">
              <w:rPr>
                <w:rFonts w:ascii="宋体" w:hAnsi="宋体" w:hint="eastAsia"/>
                <w:b/>
                <w:bCs/>
                <w:iCs/>
                <w:color w:val="000000"/>
                <w:sz w:val="24"/>
              </w:rPr>
              <w:t>地点</w:t>
            </w:r>
          </w:p>
        </w:tc>
        <w:tc>
          <w:tcPr>
            <w:tcW w:w="7393" w:type="dxa"/>
          </w:tcPr>
          <w:p w:rsidR="000D1024" w:rsidRPr="00A94694" w:rsidRDefault="00BC75FF" w:rsidP="00AA4318">
            <w:pPr>
              <w:spacing w:line="480" w:lineRule="atLeast"/>
              <w:rPr>
                <w:rFonts w:ascii="宋体" w:hAnsi="宋体"/>
                <w:bCs/>
                <w:iCs/>
                <w:color w:val="000000"/>
                <w:sz w:val="24"/>
              </w:rPr>
            </w:pPr>
            <w:r>
              <w:rPr>
                <w:rFonts w:ascii="宋体" w:hAnsi="宋体"/>
                <w:bCs/>
                <w:iCs/>
                <w:color w:val="000000"/>
                <w:sz w:val="24"/>
              </w:rPr>
              <w:t>公司会议室</w:t>
            </w:r>
          </w:p>
        </w:tc>
      </w:tr>
      <w:tr w:rsidR="00BC75FF" w:rsidRPr="00A94694" w:rsidTr="00270C80">
        <w:trPr>
          <w:jc w:val="center"/>
        </w:trPr>
        <w:tc>
          <w:tcPr>
            <w:tcW w:w="1997" w:type="dxa"/>
          </w:tcPr>
          <w:p w:rsidR="00BC75FF" w:rsidRPr="007907E7" w:rsidRDefault="00BC75FF" w:rsidP="00AA4318">
            <w:pPr>
              <w:spacing w:line="480" w:lineRule="atLeast"/>
              <w:rPr>
                <w:rFonts w:ascii="宋体" w:hAnsi="宋体"/>
                <w:b/>
                <w:bCs/>
                <w:iCs/>
                <w:color w:val="000000"/>
                <w:sz w:val="24"/>
              </w:rPr>
            </w:pPr>
            <w:r w:rsidRPr="007907E7">
              <w:rPr>
                <w:rFonts w:ascii="宋体" w:hAnsi="宋体" w:hint="eastAsia"/>
                <w:b/>
                <w:bCs/>
                <w:iCs/>
                <w:color w:val="000000"/>
                <w:sz w:val="24"/>
              </w:rPr>
              <w:t>上市公司接待人员姓名</w:t>
            </w:r>
          </w:p>
        </w:tc>
        <w:tc>
          <w:tcPr>
            <w:tcW w:w="7393" w:type="dxa"/>
          </w:tcPr>
          <w:p w:rsidR="00BC75FF" w:rsidRDefault="00BC75FF" w:rsidP="00AA4318">
            <w:pPr>
              <w:pStyle w:val="a6"/>
              <w:spacing w:line="480" w:lineRule="atLeast"/>
              <w:ind w:firstLineChars="0" w:firstLine="0"/>
              <w:jc w:val="left"/>
              <w:rPr>
                <w:rFonts w:ascii="宋体" w:hAnsi="宋体" w:cs="宋体"/>
                <w:sz w:val="24"/>
                <w:szCs w:val="24"/>
                <w:lang w:val="zh-CN"/>
              </w:rPr>
            </w:pPr>
            <w:r w:rsidRPr="00240B67">
              <w:rPr>
                <w:rFonts w:ascii="宋体" w:hAnsi="宋体" w:cs="宋体" w:hint="eastAsia"/>
                <w:sz w:val="24"/>
                <w:szCs w:val="24"/>
                <w:lang w:val="zh-CN"/>
              </w:rPr>
              <w:t>董事会秘书 殷勤</w:t>
            </w:r>
          </w:p>
          <w:p w:rsidR="00AC59D3" w:rsidRPr="00FB2F07" w:rsidRDefault="00AC59D3" w:rsidP="00AA4318">
            <w:pPr>
              <w:pStyle w:val="a6"/>
              <w:spacing w:line="480" w:lineRule="atLeast"/>
              <w:ind w:firstLineChars="0" w:firstLine="0"/>
              <w:jc w:val="left"/>
              <w:rPr>
                <w:rFonts w:ascii="宋体" w:hAnsi="宋体" w:cs="宋体"/>
                <w:sz w:val="24"/>
                <w:szCs w:val="24"/>
                <w:lang w:val="zh-CN"/>
              </w:rPr>
            </w:pPr>
            <w:r>
              <w:rPr>
                <w:rFonts w:ascii="宋体" w:hAnsi="宋体" w:cs="宋体" w:hint="eastAsia"/>
                <w:sz w:val="24"/>
                <w:szCs w:val="24"/>
                <w:lang w:val="zh-CN"/>
              </w:rPr>
              <w:t>证券部专员 李蕴桓</w:t>
            </w:r>
          </w:p>
        </w:tc>
      </w:tr>
      <w:tr w:rsidR="00BC75FF" w:rsidRPr="00A94694" w:rsidTr="003D1C93">
        <w:trPr>
          <w:trHeight w:val="983"/>
          <w:jc w:val="center"/>
        </w:trPr>
        <w:tc>
          <w:tcPr>
            <w:tcW w:w="1997" w:type="dxa"/>
            <w:vAlign w:val="center"/>
          </w:tcPr>
          <w:p w:rsidR="00BC75FF" w:rsidRPr="007907E7" w:rsidRDefault="00BC75FF" w:rsidP="00AA4318">
            <w:pPr>
              <w:spacing w:line="480" w:lineRule="atLeast"/>
              <w:rPr>
                <w:rFonts w:ascii="宋体" w:hAnsi="宋体"/>
                <w:b/>
                <w:bCs/>
                <w:iCs/>
                <w:color w:val="000000"/>
                <w:sz w:val="24"/>
              </w:rPr>
            </w:pPr>
            <w:r w:rsidRPr="007907E7">
              <w:rPr>
                <w:rFonts w:ascii="宋体" w:hAnsi="宋体" w:hint="eastAsia"/>
                <w:b/>
                <w:bCs/>
                <w:iCs/>
                <w:color w:val="000000"/>
                <w:sz w:val="24"/>
              </w:rPr>
              <w:t>投资者关系活动主要内容介绍</w:t>
            </w:r>
          </w:p>
          <w:p w:rsidR="00BC75FF" w:rsidRPr="007907E7" w:rsidRDefault="00BC75FF" w:rsidP="00AA4318">
            <w:pPr>
              <w:spacing w:line="480" w:lineRule="atLeast"/>
              <w:rPr>
                <w:rFonts w:ascii="宋体" w:hAnsi="宋体"/>
                <w:b/>
                <w:bCs/>
                <w:iCs/>
                <w:color w:val="000000"/>
                <w:sz w:val="24"/>
              </w:rPr>
            </w:pPr>
          </w:p>
        </w:tc>
        <w:tc>
          <w:tcPr>
            <w:tcW w:w="7393" w:type="dxa"/>
            <w:vAlign w:val="center"/>
          </w:tcPr>
          <w:p w:rsidR="00190C33" w:rsidRDefault="00190C33" w:rsidP="003D1C93">
            <w:pPr>
              <w:pStyle w:val="a6"/>
              <w:adjustRightInd w:val="0"/>
              <w:snapToGrid w:val="0"/>
              <w:spacing w:line="360" w:lineRule="auto"/>
              <w:ind w:firstLine="482"/>
              <w:rPr>
                <w:rFonts w:hAnsi="宋体"/>
                <w:b/>
                <w:sz w:val="24"/>
                <w:szCs w:val="24"/>
              </w:rPr>
            </w:pPr>
            <w:r>
              <w:rPr>
                <w:rFonts w:hAnsi="宋体" w:hint="eastAsia"/>
                <w:b/>
                <w:sz w:val="24"/>
                <w:szCs w:val="24"/>
              </w:rPr>
              <w:t>一、介绍公司的主营业务</w:t>
            </w:r>
          </w:p>
          <w:p w:rsidR="00190C33" w:rsidRDefault="00190C33" w:rsidP="003D1C93">
            <w:pPr>
              <w:pStyle w:val="a6"/>
              <w:adjustRightInd w:val="0"/>
              <w:snapToGrid w:val="0"/>
              <w:spacing w:line="360" w:lineRule="auto"/>
              <w:ind w:firstLine="480"/>
              <w:rPr>
                <w:rFonts w:hAnsi="宋体"/>
                <w:sz w:val="24"/>
                <w:szCs w:val="24"/>
              </w:rPr>
            </w:pPr>
            <w:r>
              <w:rPr>
                <w:rFonts w:hAnsi="宋体" w:hint="eastAsia"/>
                <w:sz w:val="24"/>
                <w:szCs w:val="24"/>
              </w:rPr>
              <w:t>公司坚持实践“胜利智造未来”的发展战略，已成长为一家可为客户提供全方位制造支持的科技服务型企业集团。公司从事的主要业务包括智能制造、移动终端以及新能源业务。</w:t>
            </w:r>
          </w:p>
          <w:p w:rsidR="00190C33" w:rsidRDefault="00190C33" w:rsidP="003D1C93">
            <w:pPr>
              <w:pStyle w:val="a6"/>
              <w:adjustRightInd w:val="0"/>
              <w:snapToGrid w:val="0"/>
              <w:spacing w:line="360" w:lineRule="auto"/>
              <w:ind w:firstLine="480"/>
              <w:rPr>
                <w:rFonts w:hAnsi="宋体"/>
                <w:sz w:val="24"/>
                <w:szCs w:val="24"/>
              </w:rPr>
            </w:pPr>
            <w:r w:rsidRPr="00BC75FF">
              <w:rPr>
                <w:rFonts w:hAnsi="宋体" w:hint="eastAsia"/>
                <w:sz w:val="24"/>
                <w:szCs w:val="24"/>
              </w:rPr>
              <w:t>智能制造业务是指为客户提供定制化的智能制造整体解决方案，包括智能制造产品和服务，定制化非标产品的生产研发和完整工艺流程的配套服务。其中，智能硬件主要有高精密检测设备、精密自动化组装设备和</w:t>
            </w:r>
            <w:proofErr w:type="gramStart"/>
            <w:r w:rsidRPr="00BC75FF">
              <w:rPr>
                <w:rFonts w:hAnsi="宋体" w:hint="eastAsia"/>
                <w:sz w:val="24"/>
                <w:szCs w:val="24"/>
              </w:rPr>
              <w:t>全制程</w:t>
            </w:r>
            <w:proofErr w:type="gramEnd"/>
            <w:r w:rsidRPr="00BC75FF">
              <w:rPr>
                <w:rFonts w:hAnsi="宋体" w:hint="eastAsia"/>
                <w:sz w:val="24"/>
                <w:szCs w:val="24"/>
              </w:rPr>
              <w:t>自动化整线；智能软件目前以</w:t>
            </w:r>
            <w:r w:rsidRPr="00BC75FF">
              <w:rPr>
                <w:rFonts w:hAnsi="宋体" w:hint="eastAsia"/>
                <w:sz w:val="24"/>
                <w:szCs w:val="24"/>
              </w:rPr>
              <w:t>MES</w:t>
            </w:r>
            <w:r w:rsidRPr="00BC75FF">
              <w:rPr>
                <w:rFonts w:hAnsi="宋体" w:hint="eastAsia"/>
                <w:sz w:val="24"/>
                <w:szCs w:val="24"/>
              </w:rPr>
              <w:t>系统为主，专注于汽车行业和</w:t>
            </w:r>
            <w:r w:rsidRPr="00BC75FF">
              <w:rPr>
                <w:rFonts w:hAnsi="宋体" w:hint="eastAsia"/>
                <w:sz w:val="24"/>
                <w:szCs w:val="24"/>
              </w:rPr>
              <w:t>3C</w:t>
            </w:r>
            <w:r w:rsidRPr="00BC75FF">
              <w:rPr>
                <w:rFonts w:hAnsi="宋体" w:hint="eastAsia"/>
                <w:sz w:val="24"/>
                <w:szCs w:val="24"/>
              </w:rPr>
              <w:t>行业的制造执行系统；完整工艺流程的配套服务包括生产线的自动化改造与提升，生产线和智能工厂的定制化设计、软硬件定制和长期配套服务。公司服务于</w:t>
            </w:r>
            <w:r w:rsidRPr="00BC75FF">
              <w:rPr>
                <w:rFonts w:hAnsi="宋体" w:hint="eastAsia"/>
                <w:sz w:val="24"/>
                <w:szCs w:val="24"/>
              </w:rPr>
              <w:t>3C</w:t>
            </w:r>
            <w:r w:rsidRPr="00BC75FF">
              <w:rPr>
                <w:rFonts w:hAnsi="宋体" w:hint="eastAsia"/>
                <w:sz w:val="24"/>
                <w:szCs w:val="24"/>
              </w:rPr>
              <w:t>消费电子行业龙头客户的同时，也为航天军工、医疗器械及汽车装备等行业的全球龙头客户，提供全方位的服务支持。</w:t>
            </w:r>
          </w:p>
          <w:p w:rsidR="00190C33" w:rsidRDefault="00190C33" w:rsidP="003D1C93">
            <w:pPr>
              <w:pStyle w:val="a6"/>
              <w:adjustRightInd w:val="0"/>
              <w:snapToGrid w:val="0"/>
              <w:spacing w:line="360" w:lineRule="auto"/>
              <w:ind w:firstLine="480"/>
              <w:rPr>
                <w:rFonts w:hAnsi="宋体"/>
                <w:sz w:val="24"/>
                <w:szCs w:val="24"/>
              </w:rPr>
            </w:pPr>
            <w:r w:rsidRPr="00BC75FF">
              <w:rPr>
                <w:rFonts w:hAnsi="宋体" w:hint="eastAsia"/>
                <w:sz w:val="24"/>
                <w:szCs w:val="24"/>
              </w:rPr>
              <w:lastRenderedPageBreak/>
              <w:t>公司移动终端业务包括移动终端产品和移动终端服务。公司研发生产的移动终端产品涵括了精密金属结构件、塑胶结构件、玻璃盖板、</w:t>
            </w:r>
            <w:r w:rsidRPr="00BC75FF">
              <w:rPr>
                <w:rFonts w:hAnsi="宋体" w:hint="eastAsia"/>
                <w:sz w:val="24"/>
                <w:szCs w:val="24"/>
              </w:rPr>
              <w:t>AR</w:t>
            </w:r>
            <w:r w:rsidRPr="00BC75FF">
              <w:rPr>
                <w:rFonts w:hAnsi="宋体" w:hint="eastAsia"/>
                <w:sz w:val="24"/>
                <w:szCs w:val="24"/>
              </w:rPr>
              <w:t>减反射镀膜等不同材质的定制化结构件产品，广泛应用于电视、笔记本电脑、智能手机，手表手环、</w:t>
            </w:r>
            <w:r w:rsidRPr="00BC75FF">
              <w:rPr>
                <w:rFonts w:hAnsi="宋体" w:hint="eastAsia"/>
                <w:sz w:val="24"/>
                <w:szCs w:val="24"/>
              </w:rPr>
              <w:t>AR/VR</w:t>
            </w:r>
            <w:r w:rsidRPr="00BC75FF">
              <w:rPr>
                <w:rFonts w:hAnsi="宋体" w:hint="eastAsia"/>
                <w:sz w:val="24"/>
                <w:szCs w:val="24"/>
              </w:rPr>
              <w:t>等可穿戴设备，及车载视窗等移动终端产品上。移动终端产品生产基近千亩，位于江苏苏州和安徽舒城，公司在</w:t>
            </w:r>
            <w:r w:rsidRPr="00BC75FF">
              <w:rPr>
                <w:rFonts w:hAnsi="宋体" w:hint="eastAsia"/>
                <w:sz w:val="24"/>
                <w:szCs w:val="24"/>
              </w:rPr>
              <w:t>3C</w:t>
            </w:r>
            <w:r w:rsidRPr="00BC75FF">
              <w:rPr>
                <w:rFonts w:hAnsi="宋体" w:hint="eastAsia"/>
                <w:sz w:val="24"/>
                <w:szCs w:val="24"/>
              </w:rPr>
              <w:t>消费电子等细分行业深度布局、踏实耕耘，取得了华为、三星、戴尔、索尼、联想、康宁、特斯拉、</w:t>
            </w:r>
            <w:r w:rsidRPr="00BC75FF">
              <w:rPr>
                <w:rFonts w:hAnsi="宋体" w:hint="eastAsia"/>
                <w:sz w:val="24"/>
                <w:szCs w:val="24"/>
              </w:rPr>
              <w:t>OPPO</w:t>
            </w:r>
            <w:r w:rsidRPr="00BC75FF">
              <w:rPr>
                <w:rFonts w:hAnsi="宋体" w:hint="eastAsia"/>
                <w:sz w:val="24"/>
                <w:szCs w:val="24"/>
              </w:rPr>
              <w:t>、小米等行业龙头客户的认可。</w:t>
            </w:r>
          </w:p>
          <w:p w:rsidR="00190C33" w:rsidRDefault="00190C33" w:rsidP="003D1C93">
            <w:pPr>
              <w:pStyle w:val="a6"/>
              <w:adjustRightInd w:val="0"/>
              <w:snapToGrid w:val="0"/>
              <w:spacing w:line="360" w:lineRule="auto"/>
              <w:ind w:firstLine="480"/>
              <w:rPr>
                <w:rFonts w:hAnsi="宋体"/>
                <w:sz w:val="24"/>
                <w:szCs w:val="24"/>
              </w:rPr>
            </w:pPr>
            <w:r w:rsidRPr="00BC75FF">
              <w:rPr>
                <w:rFonts w:hAnsi="宋体" w:hint="eastAsia"/>
                <w:sz w:val="24"/>
                <w:szCs w:val="24"/>
              </w:rPr>
              <w:t>新能源业务指锂离子电池湿法隔膜的研发和生产，包括湿法基膜和涂覆膜。湿法隔膜广泛运用于三元电池，下游应用于</w:t>
            </w:r>
            <w:r w:rsidRPr="00BC75FF">
              <w:rPr>
                <w:rFonts w:hAnsi="宋体" w:hint="eastAsia"/>
                <w:sz w:val="24"/>
                <w:szCs w:val="24"/>
              </w:rPr>
              <w:t>3C</w:t>
            </w:r>
            <w:r w:rsidRPr="00BC75FF">
              <w:rPr>
                <w:rFonts w:hAnsi="宋体" w:hint="eastAsia"/>
                <w:sz w:val="24"/>
                <w:szCs w:val="24"/>
              </w:rPr>
              <w:t>和新能源汽车领域。公司生产的湿法聚烯烃隔膜，采用的是双向异步拉伸工艺，以</w:t>
            </w:r>
            <w:r w:rsidRPr="00BC75FF">
              <w:rPr>
                <w:rFonts w:hAnsi="宋体" w:hint="eastAsia"/>
                <w:sz w:val="24"/>
                <w:szCs w:val="24"/>
              </w:rPr>
              <w:t>UHMWPE</w:t>
            </w:r>
            <w:r w:rsidRPr="00BC75FF">
              <w:rPr>
                <w:rFonts w:hAnsi="宋体" w:hint="eastAsia"/>
                <w:sz w:val="24"/>
                <w:szCs w:val="24"/>
              </w:rPr>
              <w:t>等为原料，从投料端开始经过熔融塑化挤出、结晶分离铸片、取向定型拉伸、成孔萃取以及横向拉伸热定型等多道工序至牵引收卷后，再进行分切和时效定型。公司的湿法隔膜生产已实现全程自动化生产和实时在线监测品质，在收卷、时效完成及产品出货前均要进行严格的检测。</w:t>
            </w:r>
          </w:p>
          <w:p w:rsidR="00190C33" w:rsidRDefault="00190C33" w:rsidP="003D1C93">
            <w:pPr>
              <w:pStyle w:val="a6"/>
              <w:adjustRightInd w:val="0"/>
              <w:snapToGrid w:val="0"/>
              <w:spacing w:line="360" w:lineRule="auto"/>
              <w:ind w:firstLine="482"/>
              <w:rPr>
                <w:rFonts w:hAnsi="宋体"/>
                <w:b/>
                <w:sz w:val="24"/>
                <w:szCs w:val="24"/>
              </w:rPr>
            </w:pPr>
            <w:r>
              <w:rPr>
                <w:rFonts w:hAnsi="宋体" w:hint="eastAsia"/>
                <w:b/>
                <w:sz w:val="24"/>
                <w:szCs w:val="24"/>
              </w:rPr>
              <w:t>二、沟通公司在智能制造的发展战略</w:t>
            </w:r>
          </w:p>
          <w:p w:rsidR="00190C33" w:rsidRDefault="00190C33" w:rsidP="003D1C93">
            <w:pPr>
              <w:pStyle w:val="a6"/>
              <w:adjustRightInd w:val="0"/>
              <w:snapToGrid w:val="0"/>
              <w:spacing w:line="360" w:lineRule="auto"/>
              <w:ind w:firstLine="480"/>
              <w:rPr>
                <w:rFonts w:hAnsi="宋体"/>
                <w:sz w:val="24"/>
              </w:rPr>
            </w:pPr>
            <w:r w:rsidRPr="00D67D61">
              <w:rPr>
                <w:rFonts w:hAnsi="宋体" w:hint="eastAsia"/>
                <w:sz w:val="24"/>
                <w:szCs w:val="24"/>
              </w:rPr>
              <w:t>公司自</w:t>
            </w:r>
            <w:r w:rsidRPr="00D67D61">
              <w:rPr>
                <w:rFonts w:hAnsi="宋体" w:hint="eastAsia"/>
                <w:sz w:val="24"/>
                <w:szCs w:val="24"/>
              </w:rPr>
              <w:t>2015</w:t>
            </w:r>
            <w:r>
              <w:rPr>
                <w:rFonts w:hAnsi="宋体" w:hint="eastAsia"/>
                <w:sz w:val="24"/>
                <w:szCs w:val="24"/>
              </w:rPr>
              <w:t>年新增智能制造业务起，一直高度重视细分行业布局和技术研发投入。</w:t>
            </w:r>
            <w:r w:rsidRPr="00D67D61">
              <w:rPr>
                <w:rFonts w:hAnsi="宋体" w:hint="eastAsia"/>
                <w:sz w:val="24"/>
                <w:szCs w:val="24"/>
              </w:rPr>
              <w:t>作为公司战略聚焦的发展方向，近年来，</w:t>
            </w:r>
            <w:r>
              <w:rPr>
                <w:rFonts w:hAnsi="宋体" w:hint="eastAsia"/>
                <w:sz w:val="24"/>
                <w:szCs w:val="24"/>
              </w:rPr>
              <w:t>智能制造</w:t>
            </w:r>
            <w:r w:rsidRPr="00D67D61">
              <w:rPr>
                <w:rFonts w:hAnsi="宋体" w:hint="eastAsia"/>
                <w:sz w:val="24"/>
                <w:szCs w:val="24"/>
              </w:rPr>
              <w:t>业务的营业收入、净利润依然保持快速增长。</w:t>
            </w:r>
            <w:r w:rsidRPr="00834332">
              <w:rPr>
                <w:rFonts w:hAnsi="宋体" w:hint="eastAsia"/>
                <w:sz w:val="24"/>
              </w:rPr>
              <w:t>目前，公司智能制造业务包括苏州富强科技有限公司、芬兰</w:t>
            </w:r>
            <w:r w:rsidRPr="00834332">
              <w:rPr>
                <w:rFonts w:hAnsi="宋体" w:hint="eastAsia"/>
                <w:sz w:val="24"/>
              </w:rPr>
              <w:t xml:space="preserve">JOT Automation </w:t>
            </w:r>
            <w:proofErr w:type="spellStart"/>
            <w:r w:rsidRPr="00834332">
              <w:rPr>
                <w:rFonts w:hAnsi="宋体" w:hint="eastAsia"/>
                <w:sz w:val="24"/>
              </w:rPr>
              <w:t>Oy</w:t>
            </w:r>
            <w:proofErr w:type="spellEnd"/>
            <w:r w:rsidRPr="00834332">
              <w:rPr>
                <w:rFonts w:hAnsi="宋体" w:hint="eastAsia"/>
                <w:sz w:val="24"/>
              </w:rPr>
              <w:t>等子公司，同时，</w:t>
            </w:r>
            <w:r w:rsidRPr="00834332">
              <w:rPr>
                <w:rFonts w:hAnsi="宋体" w:hint="eastAsia"/>
                <w:sz w:val="24"/>
              </w:rPr>
              <w:t>2018</w:t>
            </w:r>
            <w:r w:rsidRPr="00834332">
              <w:rPr>
                <w:rFonts w:hAnsi="宋体" w:hint="eastAsia"/>
                <w:sz w:val="24"/>
              </w:rPr>
              <w:t>年公司在</w:t>
            </w:r>
            <w:proofErr w:type="gramStart"/>
            <w:r w:rsidRPr="00834332">
              <w:rPr>
                <w:rFonts w:hAnsi="宋体" w:hint="eastAsia"/>
                <w:sz w:val="24"/>
              </w:rPr>
              <w:t>富强科技</w:t>
            </w:r>
            <w:proofErr w:type="gramEnd"/>
            <w:r w:rsidRPr="00834332">
              <w:rPr>
                <w:rFonts w:hAnsi="宋体" w:hint="eastAsia"/>
                <w:sz w:val="24"/>
              </w:rPr>
              <w:t>旗下新注入了</w:t>
            </w:r>
            <w:r w:rsidRPr="00834332">
              <w:rPr>
                <w:rFonts w:hAnsi="宋体" w:hint="eastAsia"/>
                <w:sz w:val="24"/>
              </w:rPr>
              <w:t>OLED</w:t>
            </w:r>
            <w:r w:rsidRPr="00834332">
              <w:rPr>
                <w:rFonts w:hAnsi="宋体" w:hint="eastAsia"/>
                <w:sz w:val="24"/>
              </w:rPr>
              <w:t>面板设备厂商日本</w:t>
            </w:r>
            <w:proofErr w:type="spellStart"/>
            <w:r w:rsidRPr="00834332">
              <w:rPr>
                <w:rFonts w:hAnsi="宋体" w:hint="eastAsia"/>
                <w:sz w:val="24"/>
              </w:rPr>
              <w:t>Advancel</w:t>
            </w:r>
            <w:proofErr w:type="spellEnd"/>
            <w:r w:rsidRPr="00834332">
              <w:rPr>
                <w:rFonts w:hAnsi="宋体" w:hint="eastAsia"/>
                <w:sz w:val="24"/>
              </w:rPr>
              <w:t>，公司全球化业务的布局日趋完善，与原有业务的协同整合效应进一步放大，从高精密检测设备、精密自动化组装设备和</w:t>
            </w:r>
            <w:proofErr w:type="gramStart"/>
            <w:r w:rsidRPr="00834332">
              <w:rPr>
                <w:rFonts w:hAnsi="宋体" w:hint="eastAsia"/>
                <w:sz w:val="24"/>
              </w:rPr>
              <w:t>全制程</w:t>
            </w:r>
            <w:proofErr w:type="gramEnd"/>
            <w:r w:rsidRPr="00834332">
              <w:rPr>
                <w:rFonts w:hAnsi="宋体" w:hint="eastAsia"/>
                <w:sz w:val="24"/>
              </w:rPr>
              <w:t>自动化整线的研发生产，到消费电子行业和汽车行业制造执行系统的定制，再到智能装配和智能加工工厂的设计集成，公司的智能制造业务已由</w:t>
            </w:r>
            <w:r w:rsidRPr="00834332">
              <w:rPr>
                <w:rFonts w:hAnsi="宋体" w:hint="eastAsia"/>
                <w:sz w:val="24"/>
              </w:rPr>
              <w:t>3C</w:t>
            </w:r>
            <w:r w:rsidRPr="00834332">
              <w:rPr>
                <w:rFonts w:hAnsi="宋体" w:hint="eastAsia"/>
                <w:sz w:val="24"/>
              </w:rPr>
              <w:t>消费电子行业，拓展到汽车装备、医疗器械及航天军工等行业。</w:t>
            </w:r>
          </w:p>
          <w:p w:rsidR="00190C33" w:rsidRPr="00270C80" w:rsidRDefault="00190C33" w:rsidP="003D1C93">
            <w:pPr>
              <w:adjustRightInd w:val="0"/>
              <w:snapToGrid w:val="0"/>
              <w:spacing w:line="360" w:lineRule="auto"/>
              <w:ind w:firstLineChars="200" w:firstLine="480"/>
              <w:rPr>
                <w:rFonts w:hAnsi="宋体"/>
                <w:sz w:val="24"/>
              </w:rPr>
            </w:pPr>
            <w:r w:rsidRPr="00270C80">
              <w:rPr>
                <w:rFonts w:hAnsi="宋体" w:hint="eastAsia"/>
                <w:sz w:val="24"/>
              </w:rPr>
              <w:t>随着</w:t>
            </w:r>
            <w:r w:rsidRPr="00270C80">
              <w:rPr>
                <w:rFonts w:hAnsi="宋体" w:hint="eastAsia"/>
                <w:sz w:val="24"/>
              </w:rPr>
              <w:t>5G</w:t>
            </w:r>
            <w:r w:rsidRPr="00270C80">
              <w:rPr>
                <w:rFonts w:hAnsi="宋体" w:hint="eastAsia"/>
                <w:sz w:val="24"/>
              </w:rPr>
              <w:t>时代和</w:t>
            </w:r>
            <w:proofErr w:type="gramStart"/>
            <w:r w:rsidRPr="00270C80">
              <w:rPr>
                <w:rFonts w:hAnsi="宋体" w:hint="eastAsia"/>
                <w:sz w:val="24"/>
              </w:rPr>
              <w:t>物联网</w:t>
            </w:r>
            <w:proofErr w:type="gramEnd"/>
            <w:r w:rsidRPr="00270C80">
              <w:rPr>
                <w:rFonts w:hAnsi="宋体" w:hint="eastAsia"/>
                <w:sz w:val="24"/>
              </w:rPr>
              <w:t>的到来，国内</w:t>
            </w:r>
            <w:r w:rsidRPr="00270C80">
              <w:rPr>
                <w:rFonts w:hAnsi="宋体" w:hint="eastAsia"/>
                <w:sz w:val="24"/>
              </w:rPr>
              <w:t>OLED</w:t>
            </w:r>
            <w:r w:rsidRPr="00270C80">
              <w:rPr>
                <w:rFonts w:hAnsi="宋体" w:hint="eastAsia"/>
                <w:sz w:val="24"/>
              </w:rPr>
              <w:t>产业链的兴起，以及</w:t>
            </w:r>
            <w:r w:rsidRPr="00270C80">
              <w:rPr>
                <w:rFonts w:hAnsi="宋体" w:hint="eastAsia"/>
                <w:sz w:val="24"/>
              </w:rPr>
              <w:lastRenderedPageBreak/>
              <w:t>对半导体产业的高度重视与投入，公司的智能制造业务全球化和重点行业领先布局优势日益突显，在原有业务稳步发展的同时，高技术壁垒和多行业渗透度的不断提高，未来可持续市场发展空间广阔。同时，公司将以国家智能制造试点示范为新起点，推广和复制智能制造新模式，引领制造创新升级，持续提升公司智能制造业务的核心竞争力和整体盈利能力。</w:t>
            </w:r>
          </w:p>
          <w:p w:rsidR="00190C33" w:rsidRPr="00A1177B" w:rsidRDefault="00190C33" w:rsidP="003D1C93">
            <w:pPr>
              <w:adjustRightInd w:val="0"/>
              <w:snapToGrid w:val="0"/>
              <w:spacing w:line="360" w:lineRule="auto"/>
              <w:ind w:firstLineChars="200" w:firstLine="482"/>
              <w:rPr>
                <w:rFonts w:hAnsi="宋体"/>
                <w:b/>
                <w:sz w:val="24"/>
              </w:rPr>
            </w:pPr>
            <w:r w:rsidRPr="00A1177B">
              <w:rPr>
                <w:rFonts w:hAnsi="宋体" w:hint="eastAsia"/>
                <w:b/>
                <w:sz w:val="24"/>
              </w:rPr>
              <w:t>三、分析</w:t>
            </w:r>
            <w:r>
              <w:rPr>
                <w:rFonts w:hAnsi="宋体" w:hint="eastAsia"/>
                <w:b/>
                <w:sz w:val="24"/>
              </w:rPr>
              <w:t>公司在新能源业务的</w:t>
            </w:r>
            <w:r w:rsidRPr="00A1177B">
              <w:rPr>
                <w:rFonts w:hAnsi="宋体" w:hint="eastAsia"/>
                <w:b/>
                <w:sz w:val="24"/>
              </w:rPr>
              <w:t>发展</w:t>
            </w:r>
            <w:r>
              <w:rPr>
                <w:rFonts w:hAnsi="宋体" w:hint="eastAsia"/>
                <w:b/>
                <w:sz w:val="24"/>
              </w:rPr>
              <w:t>规划</w:t>
            </w:r>
          </w:p>
          <w:p w:rsidR="00190C33" w:rsidRPr="00A1177B" w:rsidRDefault="00190C33" w:rsidP="003D1C93">
            <w:pPr>
              <w:adjustRightInd w:val="0"/>
              <w:snapToGrid w:val="0"/>
              <w:spacing w:line="360" w:lineRule="auto"/>
              <w:ind w:firstLineChars="200" w:firstLine="480"/>
              <w:rPr>
                <w:rFonts w:hAnsi="宋体"/>
                <w:sz w:val="24"/>
              </w:rPr>
            </w:pPr>
            <w:r w:rsidRPr="00A1177B">
              <w:rPr>
                <w:rFonts w:hAnsi="宋体" w:hint="eastAsia"/>
                <w:sz w:val="24"/>
              </w:rPr>
              <w:t>受全球动力电池市场的快速上涨，以及电池高能量密度要求</w:t>
            </w:r>
            <w:r>
              <w:rPr>
                <w:rFonts w:hAnsi="宋体" w:hint="eastAsia"/>
                <w:sz w:val="24"/>
              </w:rPr>
              <w:t>的双重影响，湿法隔膜在锂离子电池隔膜中的占有率有望继续提升，</w:t>
            </w:r>
            <w:r w:rsidRPr="00A1177B">
              <w:rPr>
                <w:rFonts w:hAnsi="宋体" w:hint="eastAsia"/>
                <w:sz w:val="24"/>
              </w:rPr>
              <w:t>公司</w:t>
            </w:r>
            <w:r>
              <w:rPr>
                <w:rFonts w:hAnsi="宋体" w:hint="eastAsia"/>
                <w:sz w:val="24"/>
              </w:rPr>
              <w:t>2019</w:t>
            </w:r>
            <w:r>
              <w:rPr>
                <w:rFonts w:hAnsi="宋体" w:hint="eastAsia"/>
                <w:sz w:val="24"/>
              </w:rPr>
              <w:t>年度</w:t>
            </w:r>
            <w:r w:rsidRPr="00A1177B">
              <w:rPr>
                <w:rFonts w:hAnsi="宋体" w:hint="eastAsia"/>
                <w:sz w:val="24"/>
              </w:rPr>
              <w:t>湿法隔膜市场前景依然广阔。</w:t>
            </w:r>
          </w:p>
          <w:p w:rsidR="00190C33" w:rsidRDefault="00190C33" w:rsidP="003D1C93">
            <w:pPr>
              <w:adjustRightInd w:val="0"/>
              <w:snapToGrid w:val="0"/>
              <w:spacing w:line="360" w:lineRule="auto"/>
              <w:ind w:firstLineChars="200" w:firstLine="480"/>
              <w:rPr>
                <w:rFonts w:hAnsi="宋体"/>
                <w:sz w:val="24"/>
              </w:rPr>
            </w:pPr>
            <w:r>
              <w:rPr>
                <w:rFonts w:hAnsi="宋体" w:hint="eastAsia"/>
                <w:sz w:val="24"/>
              </w:rPr>
              <w:t>2018</w:t>
            </w:r>
            <w:r>
              <w:rPr>
                <w:rFonts w:hAnsi="宋体" w:hint="eastAsia"/>
                <w:sz w:val="24"/>
              </w:rPr>
              <w:t>年度</w:t>
            </w:r>
            <w:r w:rsidRPr="00A1177B">
              <w:rPr>
                <w:rFonts w:hAnsi="宋体" w:hint="eastAsia"/>
                <w:sz w:val="24"/>
              </w:rPr>
              <w:t>子公司苏州捷力新能源材料有限公司为锂离子电池行业龙头客户提供湿法基膜和涂覆膜，已达产的湿法</w:t>
            </w:r>
            <w:proofErr w:type="gramStart"/>
            <w:r w:rsidRPr="00A1177B">
              <w:rPr>
                <w:rFonts w:hAnsi="宋体" w:hint="eastAsia"/>
                <w:sz w:val="24"/>
              </w:rPr>
              <w:t>基膜产线共有</w:t>
            </w:r>
            <w:proofErr w:type="gramEnd"/>
            <w:r w:rsidRPr="00A1177B">
              <w:rPr>
                <w:rFonts w:hAnsi="宋体" w:hint="eastAsia"/>
                <w:sz w:val="24"/>
              </w:rPr>
              <w:t>8</w:t>
            </w:r>
            <w:r w:rsidRPr="00A1177B">
              <w:rPr>
                <w:rFonts w:hAnsi="宋体" w:hint="eastAsia"/>
                <w:sz w:val="24"/>
              </w:rPr>
              <w:t>条，产能规模每年可达</w:t>
            </w:r>
            <w:r w:rsidRPr="00A1177B">
              <w:rPr>
                <w:rFonts w:hAnsi="宋体" w:hint="eastAsia"/>
                <w:sz w:val="24"/>
              </w:rPr>
              <w:t>4</w:t>
            </w:r>
            <w:r w:rsidRPr="00A1177B">
              <w:rPr>
                <w:rFonts w:hAnsi="宋体" w:hint="eastAsia"/>
                <w:sz w:val="24"/>
              </w:rPr>
              <w:t>亿平米左右，月均出货量超</w:t>
            </w:r>
            <w:r w:rsidRPr="00A1177B">
              <w:rPr>
                <w:rFonts w:hAnsi="宋体" w:hint="eastAsia"/>
                <w:sz w:val="24"/>
              </w:rPr>
              <w:t>3000</w:t>
            </w:r>
            <w:r w:rsidRPr="00A1177B">
              <w:rPr>
                <w:rFonts w:hAnsi="宋体" w:hint="eastAsia"/>
                <w:sz w:val="24"/>
              </w:rPr>
              <w:t>万平米，产品良率稳定在</w:t>
            </w:r>
            <w:r w:rsidRPr="00A1177B">
              <w:rPr>
                <w:rFonts w:hAnsi="宋体" w:hint="eastAsia"/>
                <w:sz w:val="24"/>
              </w:rPr>
              <w:t>90%</w:t>
            </w:r>
            <w:r w:rsidRPr="00A1177B">
              <w:rPr>
                <w:rFonts w:hAnsi="宋体" w:hint="eastAsia"/>
                <w:sz w:val="24"/>
              </w:rPr>
              <w:t>以上。</w:t>
            </w:r>
            <w:r w:rsidRPr="00A1177B">
              <w:rPr>
                <w:rFonts w:hAnsi="宋体" w:hint="eastAsia"/>
                <w:sz w:val="24"/>
              </w:rPr>
              <w:t>2018</w:t>
            </w:r>
            <w:r w:rsidRPr="00A1177B">
              <w:rPr>
                <w:rFonts w:hAnsi="宋体" w:hint="eastAsia"/>
                <w:sz w:val="24"/>
              </w:rPr>
              <w:t>年</w:t>
            </w:r>
            <w:r w:rsidRPr="00A1177B">
              <w:rPr>
                <w:rFonts w:hAnsi="宋体" w:hint="eastAsia"/>
                <w:sz w:val="24"/>
              </w:rPr>
              <w:t>4</w:t>
            </w:r>
            <w:r w:rsidRPr="00A1177B">
              <w:rPr>
                <w:rFonts w:hAnsi="宋体" w:hint="eastAsia"/>
                <w:sz w:val="24"/>
              </w:rPr>
              <w:t>月，公司重新任命</w:t>
            </w:r>
            <w:r>
              <w:rPr>
                <w:rFonts w:hAnsi="宋体" w:hint="eastAsia"/>
                <w:sz w:val="24"/>
              </w:rPr>
              <w:t>苏州捷力</w:t>
            </w:r>
            <w:r w:rsidRPr="00A1177B">
              <w:rPr>
                <w:rFonts w:hAnsi="宋体" w:hint="eastAsia"/>
                <w:sz w:val="24"/>
              </w:rPr>
              <w:t>总经理，加强内部管控，激励稳定核心团队，持续</w:t>
            </w:r>
            <w:proofErr w:type="gramStart"/>
            <w:r w:rsidRPr="00A1177B">
              <w:rPr>
                <w:rFonts w:hAnsi="宋体" w:hint="eastAsia"/>
                <w:sz w:val="24"/>
              </w:rPr>
              <w:t>提升产线智能化</w:t>
            </w:r>
            <w:proofErr w:type="gramEnd"/>
            <w:r w:rsidRPr="00A1177B">
              <w:rPr>
                <w:rFonts w:hAnsi="宋体" w:hint="eastAsia"/>
                <w:sz w:val="24"/>
              </w:rPr>
              <w:t>水平和产能、良率；同时，</w:t>
            </w:r>
            <w:r>
              <w:rPr>
                <w:rFonts w:hAnsi="宋体" w:hint="eastAsia"/>
                <w:sz w:val="24"/>
              </w:rPr>
              <w:t>苏州捷力</w:t>
            </w:r>
            <w:r w:rsidRPr="00A1177B">
              <w:rPr>
                <w:rFonts w:hAnsi="宋体" w:hint="eastAsia"/>
                <w:sz w:val="24"/>
              </w:rPr>
              <w:t>不断优化客户市场结构，与战略客户共同发展，不仅为动力电池行业龙头客户如</w:t>
            </w:r>
            <w:r w:rsidRPr="00A1177B">
              <w:rPr>
                <w:rFonts w:hAnsi="宋体" w:hint="eastAsia"/>
                <w:sz w:val="24"/>
              </w:rPr>
              <w:t>CATL</w:t>
            </w:r>
            <w:r w:rsidRPr="00A1177B">
              <w:rPr>
                <w:rFonts w:hAnsi="宋体" w:hint="eastAsia"/>
                <w:sz w:val="24"/>
              </w:rPr>
              <w:t>等，提供月供应量超千万平方米的</w:t>
            </w:r>
            <w:r w:rsidRPr="00A1177B">
              <w:rPr>
                <w:rFonts w:hAnsi="宋体" w:hint="eastAsia"/>
                <w:sz w:val="24"/>
              </w:rPr>
              <w:t>9-12</w:t>
            </w:r>
            <w:r w:rsidRPr="00A1177B">
              <w:rPr>
                <w:rFonts w:hAnsi="宋体" w:hint="eastAsia"/>
                <w:sz w:val="24"/>
              </w:rPr>
              <w:t>μ</w:t>
            </w:r>
            <w:r w:rsidRPr="00A1177B">
              <w:rPr>
                <w:rFonts w:hAnsi="宋体" w:hint="eastAsia"/>
                <w:sz w:val="24"/>
              </w:rPr>
              <w:t>m</w:t>
            </w:r>
            <w:r w:rsidRPr="00A1177B">
              <w:rPr>
                <w:rFonts w:hAnsi="宋体" w:hint="eastAsia"/>
                <w:sz w:val="24"/>
              </w:rPr>
              <w:t>湿法膜，还为国际日</w:t>
            </w:r>
            <w:proofErr w:type="gramStart"/>
            <w:r w:rsidRPr="00A1177B">
              <w:rPr>
                <w:rFonts w:hAnsi="宋体" w:hint="eastAsia"/>
                <w:sz w:val="24"/>
              </w:rPr>
              <w:t>韩客户</w:t>
            </w:r>
            <w:proofErr w:type="gramEnd"/>
            <w:r w:rsidRPr="00A1177B">
              <w:rPr>
                <w:rFonts w:hAnsi="宋体" w:hint="eastAsia"/>
                <w:sz w:val="24"/>
              </w:rPr>
              <w:t>批量生产</w:t>
            </w:r>
            <w:r w:rsidRPr="00A1177B">
              <w:rPr>
                <w:rFonts w:hAnsi="宋体" w:hint="eastAsia"/>
                <w:sz w:val="24"/>
              </w:rPr>
              <w:t>5-7</w:t>
            </w:r>
            <w:r w:rsidRPr="00A1177B">
              <w:rPr>
                <w:rFonts w:hAnsi="宋体" w:hint="eastAsia"/>
                <w:sz w:val="24"/>
              </w:rPr>
              <w:t>μ</w:t>
            </w:r>
            <w:r w:rsidRPr="00A1177B">
              <w:rPr>
                <w:rFonts w:hAnsi="宋体" w:hint="eastAsia"/>
                <w:sz w:val="24"/>
              </w:rPr>
              <w:t>m</w:t>
            </w:r>
            <w:r w:rsidRPr="00A1177B">
              <w:rPr>
                <w:rFonts w:hAnsi="宋体" w:hint="eastAsia"/>
                <w:sz w:val="24"/>
              </w:rPr>
              <w:t>的用于消费类电池的高端超薄隔膜。未来公司不仅将持续关注新能源汽车和能源产业动态，关注</w:t>
            </w:r>
            <w:proofErr w:type="gramStart"/>
            <w:r w:rsidRPr="00A1177B">
              <w:rPr>
                <w:rFonts w:hAnsi="宋体" w:hint="eastAsia"/>
                <w:sz w:val="24"/>
              </w:rPr>
              <w:t>隔膜产线工艺</w:t>
            </w:r>
            <w:proofErr w:type="gramEnd"/>
            <w:r w:rsidRPr="00A1177B">
              <w:rPr>
                <w:rFonts w:hAnsi="宋体" w:hint="eastAsia"/>
                <w:sz w:val="24"/>
              </w:rPr>
              <w:t>和设备的发展趋势，而且会与行业龙头客户保持深度合作、共同发展，激励核心团队持续拼搏、共创未来，开启新能源业务新篇章。</w:t>
            </w:r>
          </w:p>
          <w:p w:rsidR="00D233FA" w:rsidRPr="00190C33" w:rsidRDefault="00190C33" w:rsidP="003D1C93">
            <w:pPr>
              <w:adjustRightInd w:val="0"/>
              <w:snapToGrid w:val="0"/>
              <w:spacing w:line="360" w:lineRule="auto"/>
              <w:ind w:firstLineChars="200" w:firstLine="480"/>
              <w:rPr>
                <w:rFonts w:hAnsi="宋体"/>
                <w:sz w:val="24"/>
              </w:rPr>
            </w:pPr>
            <w:r w:rsidRPr="00D233FA">
              <w:rPr>
                <w:rFonts w:hAnsi="宋体" w:hint="eastAsia"/>
                <w:sz w:val="24"/>
              </w:rPr>
              <w:t>综上所述，公司在智能制造业务的全球化战略布局</w:t>
            </w:r>
            <w:r w:rsidR="003D1C93">
              <w:rPr>
                <w:rFonts w:hAnsi="宋体" w:hint="eastAsia"/>
                <w:sz w:val="24"/>
              </w:rPr>
              <w:t>、</w:t>
            </w:r>
            <w:r>
              <w:rPr>
                <w:rFonts w:hAnsi="宋体" w:hint="eastAsia"/>
                <w:sz w:val="24"/>
              </w:rPr>
              <w:t>新能源业务的深度挖</w:t>
            </w:r>
            <w:bookmarkStart w:id="0" w:name="_GoBack"/>
            <w:bookmarkEnd w:id="0"/>
            <w:r>
              <w:rPr>
                <w:rFonts w:hAnsi="宋体" w:hint="eastAsia"/>
                <w:sz w:val="24"/>
              </w:rPr>
              <w:t>掘</w:t>
            </w:r>
            <w:r w:rsidRPr="00D233FA">
              <w:rPr>
                <w:rFonts w:hAnsi="宋体" w:hint="eastAsia"/>
                <w:sz w:val="24"/>
              </w:rPr>
              <w:t>，对大客户的</w:t>
            </w:r>
            <w:r>
              <w:rPr>
                <w:rFonts w:hAnsi="宋体" w:hint="eastAsia"/>
                <w:sz w:val="24"/>
              </w:rPr>
              <w:t>专业</w:t>
            </w:r>
            <w:r w:rsidRPr="00D233FA">
              <w:rPr>
                <w:rFonts w:hAnsi="宋体" w:hint="eastAsia"/>
                <w:sz w:val="24"/>
              </w:rPr>
              <w:t>服务能力，以及技术高壁垒和规模化生产的竞争优势，确保了公司可持续发展的核心竞争力。</w:t>
            </w:r>
          </w:p>
        </w:tc>
      </w:tr>
      <w:tr w:rsidR="00BC75FF" w:rsidRPr="00A94694" w:rsidTr="00270C80">
        <w:trPr>
          <w:jc w:val="center"/>
        </w:trPr>
        <w:tc>
          <w:tcPr>
            <w:tcW w:w="1997" w:type="dxa"/>
            <w:vAlign w:val="center"/>
          </w:tcPr>
          <w:p w:rsidR="00BC75FF" w:rsidRPr="007907E7" w:rsidRDefault="00BC75FF" w:rsidP="00AA4318">
            <w:pPr>
              <w:spacing w:line="480" w:lineRule="atLeast"/>
              <w:rPr>
                <w:rFonts w:ascii="宋体" w:hAnsi="宋体"/>
                <w:b/>
                <w:bCs/>
                <w:iCs/>
                <w:color w:val="000000"/>
                <w:sz w:val="24"/>
              </w:rPr>
            </w:pPr>
            <w:r w:rsidRPr="007907E7">
              <w:rPr>
                <w:rFonts w:ascii="宋体" w:hAnsi="宋体" w:hint="eastAsia"/>
                <w:b/>
                <w:bCs/>
                <w:iCs/>
                <w:color w:val="000000"/>
                <w:sz w:val="24"/>
              </w:rPr>
              <w:lastRenderedPageBreak/>
              <w:t>附件清单（如有）</w:t>
            </w:r>
          </w:p>
        </w:tc>
        <w:tc>
          <w:tcPr>
            <w:tcW w:w="7393" w:type="dxa"/>
          </w:tcPr>
          <w:p w:rsidR="00BC75FF" w:rsidRPr="00A94694" w:rsidRDefault="00BC75FF" w:rsidP="00AA4318">
            <w:pPr>
              <w:spacing w:line="480" w:lineRule="atLeast"/>
              <w:rPr>
                <w:rFonts w:ascii="宋体" w:hAnsi="宋体"/>
                <w:bCs/>
                <w:iCs/>
                <w:color w:val="000000"/>
                <w:sz w:val="24"/>
              </w:rPr>
            </w:pPr>
          </w:p>
        </w:tc>
      </w:tr>
      <w:tr w:rsidR="00BC75FF" w:rsidRPr="00A94694" w:rsidTr="00270C80">
        <w:trPr>
          <w:jc w:val="center"/>
        </w:trPr>
        <w:tc>
          <w:tcPr>
            <w:tcW w:w="1997" w:type="dxa"/>
            <w:vAlign w:val="center"/>
          </w:tcPr>
          <w:p w:rsidR="00BC75FF" w:rsidRPr="007907E7" w:rsidRDefault="00BC75FF" w:rsidP="00AA4318">
            <w:pPr>
              <w:spacing w:line="480" w:lineRule="atLeast"/>
              <w:rPr>
                <w:rFonts w:ascii="宋体" w:hAnsi="宋体"/>
                <w:b/>
                <w:bCs/>
                <w:iCs/>
                <w:color w:val="000000"/>
                <w:sz w:val="24"/>
              </w:rPr>
            </w:pPr>
            <w:r w:rsidRPr="007907E7">
              <w:rPr>
                <w:rFonts w:ascii="宋体" w:hAnsi="宋体" w:hint="eastAsia"/>
                <w:b/>
                <w:bCs/>
                <w:iCs/>
                <w:color w:val="000000"/>
                <w:sz w:val="24"/>
              </w:rPr>
              <w:t>日期</w:t>
            </w:r>
          </w:p>
        </w:tc>
        <w:tc>
          <w:tcPr>
            <w:tcW w:w="7393" w:type="dxa"/>
          </w:tcPr>
          <w:p w:rsidR="00BC75FF" w:rsidRPr="00A94694" w:rsidRDefault="00BC75FF" w:rsidP="00AA4318">
            <w:pPr>
              <w:spacing w:line="480" w:lineRule="atLeast"/>
              <w:rPr>
                <w:rFonts w:ascii="宋体" w:hAnsi="宋体"/>
                <w:bCs/>
                <w:iCs/>
                <w:color w:val="000000"/>
                <w:sz w:val="24"/>
              </w:rPr>
            </w:pPr>
            <w:r>
              <w:rPr>
                <w:rFonts w:ascii="宋体" w:hAnsi="宋体"/>
                <w:bCs/>
                <w:iCs/>
                <w:color w:val="000000"/>
                <w:sz w:val="24"/>
              </w:rPr>
              <w:t>2019年</w:t>
            </w:r>
            <w:r>
              <w:rPr>
                <w:rFonts w:ascii="宋体" w:hAnsi="宋体" w:hint="eastAsia"/>
                <w:bCs/>
                <w:iCs/>
                <w:color w:val="000000"/>
                <w:sz w:val="24"/>
              </w:rPr>
              <w:t>0</w:t>
            </w:r>
            <w:r>
              <w:rPr>
                <w:rFonts w:ascii="宋体" w:hAnsi="宋体"/>
                <w:bCs/>
                <w:iCs/>
                <w:color w:val="000000"/>
                <w:sz w:val="24"/>
              </w:rPr>
              <w:t>6月</w:t>
            </w:r>
            <w:r>
              <w:rPr>
                <w:rFonts w:ascii="宋体" w:hAnsi="宋体" w:hint="eastAsia"/>
                <w:bCs/>
                <w:iCs/>
                <w:color w:val="000000"/>
                <w:sz w:val="24"/>
              </w:rPr>
              <w:t>0</w:t>
            </w:r>
            <w:r>
              <w:rPr>
                <w:rFonts w:ascii="宋体" w:hAnsi="宋体"/>
                <w:bCs/>
                <w:iCs/>
                <w:color w:val="000000"/>
                <w:sz w:val="24"/>
              </w:rPr>
              <w:t>4日</w:t>
            </w:r>
          </w:p>
        </w:tc>
      </w:tr>
    </w:tbl>
    <w:p w:rsidR="00270C80" w:rsidRDefault="00270C80">
      <w:pPr>
        <w:widowControl/>
        <w:jc w:val="left"/>
      </w:pPr>
    </w:p>
    <w:sectPr w:rsidR="00270C80" w:rsidSect="00B751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21E" w:rsidRDefault="00FB521E" w:rsidP="000D1024">
      <w:r>
        <w:separator/>
      </w:r>
    </w:p>
  </w:endnote>
  <w:endnote w:type="continuationSeparator" w:id="0">
    <w:p w:rsidR="00FB521E" w:rsidRDefault="00FB521E" w:rsidP="000D10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21E" w:rsidRDefault="00FB521E" w:rsidP="000D1024">
      <w:r>
        <w:separator/>
      </w:r>
    </w:p>
  </w:footnote>
  <w:footnote w:type="continuationSeparator" w:id="0">
    <w:p w:rsidR="00FB521E" w:rsidRDefault="00FB521E" w:rsidP="000D10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1024"/>
    <w:rsid w:val="000D1024"/>
    <w:rsid w:val="00137DE0"/>
    <w:rsid w:val="00190C33"/>
    <w:rsid w:val="001D514C"/>
    <w:rsid w:val="001F0113"/>
    <w:rsid w:val="00270C80"/>
    <w:rsid w:val="002E045A"/>
    <w:rsid w:val="0034247D"/>
    <w:rsid w:val="00354B8F"/>
    <w:rsid w:val="003C7674"/>
    <w:rsid w:val="003D1C93"/>
    <w:rsid w:val="00834332"/>
    <w:rsid w:val="008F0E76"/>
    <w:rsid w:val="00A1177B"/>
    <w:rsid w:val="00AA4318"/>
    <w:rsid w:val="00AC59D3"/>
    <w:rsid w:val="00B75177"/>
    <w:rsid w:val="00BC32AD"/>
    <w:rsid w:val="00BC75FF"/>
    <w:rsid w:val="00CC6C09"/>
    <w:rsid w:val="00D233FA"/>
    <w:rsid w:val="00D67D61"/>
    <w:rsid w:val="00D90074"/>
    <w:rsid w:val="00DE207E"/>
    <w:rsid w:val="00F60C2E"/>
    <w:rsid w:val="00FB52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0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10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D1024"/>
    <w:rPr>
      <w:sz w:val="18"/>
      <w:szCs w:val="18"/>
    </w:rPr>
  </w:style>
  <w:style w:type="paragraph" w:styleId="a4">
    <w:name w:val="footer"/>
    <w:basedOn w:val="a"/>
    <w:link w:val="Char0"/>
    <w:uiPriority w:val="99"/>
    <w:unhideWhenUsed/>
    <w:rsid w:val="000D10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D1024"/>
    <w:rPr>
      <w:sz w:val="18"/>
      <w:szCs w:val="18"/>
    </w:rPr>
  </w:style>
  <w:style w:type="table" w:styleId="a5">
    <w:name w:val="Table Grid"/>
    <w:basedOn w:val="a1"/>
    <w:rsid w:val="000D102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C75FF"/>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09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jianhua.zeng</dc:creator>
  <cp:keywords/>
  <dc:description/>
  <cp:lastModifiedBy>Dandan.Liu</cp:lastModifiedBy>
  <cp:revision>12</cp:revision>
  <cp:lastPrinted>2019-06-04T10:03:00Z</cp:lastPrinted>
  <dcterms:created xsi:type="dcterms:W3CDTF">2012-07-30T01:41:00Z</dcterms:created>
  <dcterms:modified xsi:type="dcterms:W3CDTF">2019-06-05T03:13:00Z</dcterms:modified>
</cp:coreProperties>
</file>