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D9A" w:rsidRPr="000971D1" w:rsidRDefault="00AA4D9A" w:rsidP="00AA4D9A">
      <w:pPr>
        <w:jc w:val="center"/>
        <w:rPr>
          <w:rFonts w:ascii="宋体" w:hAnsi="宋体"/>
          <w:bCs/>
          <w:iCs/>
          <w:color w:val="000000"/>
          <w:sz w:val="24"/>
        </w:rPr>
      </w:pPr>
      <w:r w:rsidRPr="000971D1">
        <w:rPr>
          <w:rFonts w:ascii="宋体" w:hAnsi="宋体" w:hint="eastAsia"/>
          <w:bCs/>
          <w:iCs/>
          <w:color w:val="000000"/>
          <w:sz w:val="24"/>
        </w:rPr>
        <w:t>证券代码：000078                                    证券简称：海王生物</w:t>
      </w:r>
    </w:p>
    <w:p w:rsidR="00883A0E" w:rsidRPr="000971D1" w:rsidRDefault="00883A0E" w:rsidP="00AA4D9A">
      <w:pPr>
        <w:jc w:val="center"/>
        <w:rPr>
          <w:rFonts w:ascii="宋体" w:hAnsi="宋体"/>
          <w:bCs/>
          <w:iCs/>
          <w:color w:val="000000"/>
          <w:sz w:val="24"/>
        </w:rPr>
      </w:pPr>
    </w:p>
    <w:p w:rsidR="00AA4D9A" w:rsidRPr="000971D1" w:rsidRDefault="00AA4D9A" w:rsidP="007F5F34">
      <w:pPr>
        <w:spacing w:beforeLines="50" w:before="156" w:afterLines="50" w:after="156" w:line="400" w:lineRule="exact"/>
        <w:jc w:val="center"/>
        <w:rPr>
          <w:rFonts w:ascii="宋体" w:hAnsi="宋体"/>
          <w:b/>
          <w:bCs/>
          <w:iCs/>
          <w:color w:val="000000"/>
          <w:sz w:val="32"/>
          <w:szCs w:val="32"/>
        </w:rPr>
      </w:pPr>
      <w:r w:rsidRPr="000971D1">
        <w:rPr>
          <w:rFonts w:ascii="宋体" w:hAnsi="宋体" w:hint="eastAsia"/>
          <w:b/>
          <w:bCs/>
          <w:iCs/>
          <w:color w:val="000000"/>
          <w:sz w:val="32"/>
          <w:szCs w:val="32"/>
        </w:rPr>
        <w:t>深圳市海王生物工程股份有限公司</w:t>
      </w:r>
    </w:p>
    <w:p w:rsidR="00AA4D9A" w:rsidRPr="000971D1" w:rsidRDefault="00AA4D9A" w:rsidP="007F5F34">
      <w:pPr>
        <w:spacing w:beforeLines="50" w:before="156" w:afterLines="50" w:after="156" w:line="400" w:lineRule="exact"/>
        <w:jc w:val="center"/>
        <w:rPr>
          <w:rFonts w:ascii="宋体" w:hAnsi="宋体"/>
          <w:b/>
          <w:bCs/>
          <w:iCs/>
          <w:color w:val="000000"/>
          <w:sz w:val="32"/>
          <w:szCs w:val="32"/>
        </w:rPr>
      </w:pPr>
      <w:r w:rsidRPr="000971D1">
        <w:rPr>
          <w:rFonts w:ascii="宋体" w:hAnsi="宋体" w:hint="eastAsia"/>
          <w:b/>
          <w:bCs/>
          <w:iCs/>
          <w:color w:val="000000"/>
          <w:sz w:val="32"/>
          <w:szCs w:val="32"/>
        </w:rPr>
        <w:t>投资者关系活动记录表</w:t>
      </w:r>
    </w:p>
    <w:p w:rsidR="00AA4D9A" w:rsidRPr="000971D1" w:rsidRDefault="00AA4D9A" w:rsidP="001C385F">
      <w:pPr>
        <w:spacing w:line="400" w:lineRule="exact"/>
        <w:ind w:firstLineChars="2800" w:firstLine="6720"/>
        <w:rPr>
          <w:rFonts w:ascii="宋体" w:hAnsi="宋体"/>
          <w:bCs/>
          <w:iCs/>
          <w:sz w:val="24"/>
        </w:rPr>
      </w:pPr>
      <w:r w:rsidRPr="000971D1">
        <w:rPr>
          <w:rFonts w:ascii="宋体" w:hAnsi="宋体" w:hint="eastAsia"/>
          <w:bCs/>
          <w:iCs/>
          <w:sz w:val="24"/>
        </w:rPr>
        <w:t>编号：</w:t>
      </w:r>
      <w:r w:rsidR="00F13E52" w:rsidRPr="000971D1">
        <w:rPr>
          <w:rFonts w:ascii="宋体" w:hAnsi="宋体" w:hint="eastAsia"/>
          <w:bCs/>
          <w:iCs/>
          <w:sz w:val="24"/>
        </w:rPr>
        <w:t>201</w:t>
      </w:r>
      <w:r w:rsidR="00FE0A52">
        <w:rPr>
          <w:rFonts w:ascii="宋体" w:hAnsi="宋体"/>
          <w:bCs/>
          <w:iCs/>
          <w:sz w:val="24"/>
        </w:rPr>
        <w:t>9</w:t>
      </w:r>
      <w:r w:rsidR="00092DA7" w:rsidRPr="000971D1">
        <w:rPr>
          <w:rFonts w:ascii="宋体" w:hAnsi="宋体" w:hint="eastAsia"/>
          <w:bCs/>
          <w:iCs/>
          <w:sz w:val="24"/>
        </w:rPr>
        <w:t>-0</w:t>
      </w:r>
      <w:r w:rsidR="00F330B7">
        <w:rPr>
          <w:rFonts w:ascii="宋体" w:hAnsi="宋体"/>
          <w:bCs/>
          <w:iCs/>
          <w:sz w:val="24"/>
        </w:rPr>
        <w:t>0</w:t>
      </w:r>
      <w:r w:rsidR="00E00C64">
        <w:rPr>
          <w:rFonts w:ascii="宋体" w:hAnsi="宋体" w:hint="eastAsia"/>
          <w:bCs/>
          <w:iCs/>
          <w:sz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AA4D9A" w:rsidRPr="00F757EE" w:rsidTr="00CC5816">
        <w:tc>
          <w:tcPr>
            <w:tcW w:w="1908" w:type="dxa"/>
            <w:tcBorders>
              <w:top w:val="single" w:sz="4" w:space="0" w:color="auto"/>
              <w:left w:val="single" w:sz="4" w:space="0" w:color="auto"/>
              <w:bottom w:val="single" w:sz="4" w:space="0" w:color="auto"/>
              <w:right w:val="single" w:sz="4" w:space="0" w:color="auto"/>
            </w:tcBorders>
          </w:tcPr>
          <w:p w:rsidR="00AA4D9A" w:rsidRPr="00CC5816" w:rsidRDefault="00AA4D9A" w:rsidP="00CC5816">
            <w:pPr>
              <w:spacing w:line="480" w:lineRule="atLeast"/>
              <w:rPr>
                <w:rFonts w:ascii="宋体" w:hAnsi="宋体"/>
                <w:b/>
                <w:bCs/>
                <w:iCs/>
                <w:color w:val="000000"/>
                <w:sz w:val="24"/>
              </w:rPr>
            </w:pPr>
            <w:r w:rsidRPr="00CC5816">
              <w:rPr>
                <w:rFonts w:ascii="宋体" w:hAnsi="宋体" w:hint="eastAsia"/>
                <w:b/>
                <w:bCs/>
                <w:iCs/>
                <w:color w:val="000000"/>
                <w:sz w:val="24"/>
              </w:rPr>
              <w:t>投资者关系活动类别</w:t>
            </w:r>
          </w:p>
          <w:p w:rsidR="00AA4D9A" w:rsidRPr="00CC5816" w:rsidRDefault="00AA4D9A" w:rsidP="00CC5816">
            <w:pPr>
              <w:spacing w:line="480" w:lineRule="atLeast"/>
              <w:rPr>
                <w:rFonts w:ascii="宋体" w:hAnsi="宋体"/>
                <w:b/>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AA4D9A" w:rsidRPr="00CC5816" w:rsidRDefault="001311B3" w:rsidP="00CC5816">
            <w:pPr>
              <w:spacing w:line="480" w:lineRule="atLeast"/>
              <w:rPr>
                <w:rFonts w:ascii="宋体" w:hAnsi="宋体"/>
                <w:bCs/>
                <w:iCs/>
                <w:color w:val="000000"/>
                <w:sz w:val="24"/>
              </w:rPr>
            </w:pPr>
            <w:r w:rsidRPr="00CC5816">
              <w:rPr>
                <w:rFonts w:ascii="宋体" w:hAnsi="宋体" w:hint="eastAsia"/>
                <w:bCs/>
                <w:iCs/>
                <w:color w:val="000000"/>
                <w:sz w:val="24"/>
              </w:rPr>
              <w:t>□</w:t>
            </w:r>
            <w:r w:rsidR="00AA4D9A" w:rsidRPr="00CC5816">
              <w:rPr>
                <w:rFonts w:ascii="宋体" w:hAnsi="宋体" w:hint="eastAsia"/>
                <w:bCs/>
                <w:iCs/>
                <w:color w:val="000000"/>
                <w:sz w:val="24"/>
              </w:rPr>
              <w:t>特定对象调研□分析师会议</w:t>
            </w:r>
          </w:p>
          <w:p w:rsidR="00AA4D9A" w:rsidRPr="00CC5816" w:rsidRDefault="00E00C64" w:rsidP="00CC5816">
            <w:pPr>
              <w:spacing w:line="480" w:lineRule="atLeast"/>
              <w:rPr>
                <w:rFonts w:ascii="宋体" w:hAnsi="宋体"/>
                <w:bCs/>
                <w:iCs/>
                <w:color w:val="000000"/>
                <w:sz w:val="24"/>
              </w:rPr>
            </w:pPr>
            <w:r w:rsidRPr="00CC5816">
              <w:rPr>
                <w:rFonts w:ascii="宋体" w:hAnsi="宋体" w:hint="eastAsia"/>
                <w:bCs/>
                <w:iCs/>
                <w:color w:val="000000"/>
                <w:sz w:val="24"/>
              </w:rPr>
              <w:t>√</w:t>
            </w:r>
            <w:r w:rsidR="00AA4D9A" w:rsidRPr="00CC5816">
              <w:rPr>
                <w:rFonts w:ascii="宋体" w:hAnsi="宋体" w:hint="eastAsia"/>
                <w:bCs/>
                <w:iCs/>
                <w:color w:val="000000"/>
                <w:sz w:val="24"/>
              </w:rPr>
              <w:t>媒体采访□业绩说明会</w:t>
            </w:r>
          </w:p>
          <w:p w:rsidR="00AA4D9A" w:rsidRPr="00CC5816" w:rsidRDefault="00AA4D9A" w:rsidP="00CC5816">
            <w:pPr>
              <w:spacing w:line="480" w:lineRule="atLeast"/>
              <w:rPr>
                <w:rFonts w:ascii="宋体" w:hAnsi="宋体"/>
                <w:bCs/>
                <w:iCs/>
                <w:color w:val="000000"/>
                <w:sz w:val="24"/>
              </w:rPr>
            </w:pPr>
            <w:r w:rsidRPr="00CC5816">
              <w:rPr>
                <w:rFonts w:ascii="宋体" w:hAnsi="宋体" w:hint="eastAsia"/>
                <w:bCs/>
                <w:iCs/>
                <w:color w:val="000000"/>
                <w:sz w:val="24"/>
              </w:rPr>
              <w:t>□新闻发布会</w:t>
            </w:r>
            <w:r w:rsidR="00737FCD" w:rsidRPr="00CC5816">
              <w:rPr>
                <w:rFonts w:ascii="宋体" w:hAnsi="宋体" w:hint="eastAsia"/>
                <w:bCs/>
                <w:iCs/>
                <w:color w:val="000000"/>
                <w:sz w:val="24"/>
              </w:rPr>
              <w:t>□</w:t>
            </w:r>
            <w:r w:rsidRPr="00CC5816">
              <w:rPr>
                <w:rFonts w:ascii="宋体" w:hAnsi="宋体" w:hint="eastAsia"/>
                <w:bCs/>
                <w:iCs/>
                <w:color w:val="000000"/>
                <w:sz w:val="24"/>
              </w:rPr>
              <w:t>路演活动</w:t>
            </w:r>
          </w:p>
          <w:p w:rsidR="00244AB5" w:rsidRPr="00CC5816" w:rsidRDefault="00AA4D9A" w:rsidP="00CC5816">
            <w:pPr>
              <w:spacing w:line="480" w:lineRule="atLeast"/>
              <w:rPr>
                <w:rFonts w:ascii="宋体" w:hAnsi="宋体"/>
                <w:bCs/>
                <w:iCs/>
                <w:color w:val="000000"/>
                <w:sz w:val="24"/>
              </w:rPr>
            </w:pPr>
            <w:r w:rsidRPr="00CC5816">
              <w:rPr>
                <w:rFonts w:ascii="宋体" w:hAnsi="宋体" w:hint="eastAsia"/>
                <w:bCs/>
                <w:iCs/>
                <w:color w:val="000000"/>
                <w:sz w:val="24"/>
              </w:rPr>
              <w:t>□现场参观</w:t>
            </w:r>
            <w:r w:rsidRPr="00CC5816">
              <w:rPr>
                <w:rFonts w:ascii="宋体" w:hAnsi="宋体" w:hint="eastAsia"/>
                <w:bCs/>
                <w:iCs/>
                <w:color w:val="000000"/>
                <w:sz w:val="24"/>
              </w:rPr>
              <w:tab/>
            </w:r>
          </w:p>
          <w:p w:rsidR="00AA4D9A" w:rsidRPr="00CC5816" w:rsidRDefault="00E00C64" w:rsidP="001311B3">
            <w:pPr>
              <w:spacing w:line="480" w:lineRule="atLeast"/>
              <w:rPr>
                <w:rFonts w:ascii="宋体" w:hAnsi="宋体"/>
                <w:bCs/>
                <w:iCs/>
                <w:color w:val="000000"/>
                <w:sz w:val="24"/>
              </w:rPr>
            </w:pPr>
            <w:r w:rsidRPr="00CC5816">
              <w:rPr>
                <w:rFonts w:ascii="宋体" w:hAnsi="宋体" w:hint="eastAsia"/>
                <w:bCs/>
                <w:iCs/>
                <w:color w:val="000000"/>
                <w:sz w:val="24"/>
              </w:rPr>
              <w:t>□</w:t>
            </w:r>
            <w:r w:rsidR="00AA4D9A" w:rsidRPr="00CC5816">
              <w:rPr>
                <w:rFonts w:ascii="宋体" w:hAnsi="宋体" w:hint="eastAsia"/>
                <w:bCs/>
                <w:iCs/>
                <w:color w:val="000000"/>
                <w:sz w:val="24"/>
              </w:rPr>
              <w:t xml:space="preserve">其他 </w:t>
            </w:r>
            <w:r w:rsidR="001311B3">
              <w:rPr>
                <w:rFonts w:ascii="宋体" w:hAnsi="宋体" w:hint="eastAsia"/>
                <w:bCs/>
                <w:iCs/>
                <w:color w:val="000000"/>
                <w:sz w:val="24"/>
              </w:rPr>
              <w:t>投资者交流</w:t>
            </w:r>
          </w:p>
        </w:tc>
      </w:tr>
      <w:tr w:rsidR="00AA4D9A" w:rsidRPr="00CC5816" w:rsidTr="00CC5816">
        <w:tc>
          <w:tcPr>
            <w:tcW w:w="1908" w:type="dxa"/>
            <w:tcBorders>
              <w:top w:val="single" w:sz="4" w:space="0" w:color="auto"/>
              <w:left w:val="single" w:sz="4" w:space="0" w:color="auto"/>
              <w:bottom w:val="single" w:sz="4" w:space="0" w:color="auto"/>
              <w:right w:val="single" w:sz="4" w:space="0" w:color="auto"/>
            </w:tcBorders>
          </w:tcPr>
          <w:p w:rsidR="00AA4D9A" w:rsidRPr="007038BC" w:rsidRDefault="00AA4D9A" w:rsidP="00CC5816">
            <w:pPr>
              <w:spacing w:line="480" w:lineRule="atLeast"/>
              <w:rPr>
                <w:rFonts w:ascii="宋体" w:hAnsi="宋体"/>
                <w:sz w:val="24"/>
              </w:rPr>
            </w:pPr>
            <w:r w:rsidRPr="007038BC">
              <w:rPr>
                <w:rFonts w:ascii="宋体" w:hAnsi="宋体" w:hint="eastAsia"/>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tcPr>
          <w:p w:rsidR="00D44754" w:rsidRPr="00CC5816" w:rsidRDefault="00541962" w:rsidP="00541962">
            <w:pPr>
              <w:spacing w:line="480" w:lineRule="atLeast"/>
              <w:rPr>
                <w:rFonts w:ascii="宋体" w:hAnsi="宋体"/>
                <w:sz w:val="24"/>
              </w:rPr>
            </w:pPr>
            <w:r>
              <w:rPr>
                <w:rFonts w:ascii="宋体" w:hAnsi="宋体" w:hint="eastAsia"/>
                <w:sz w:val="24"/>
              </w:rPr>
              <w:t>深圳</w:t>
            </w:r>
            <w:r w:rsidR="00DE0A28">
              <w:rPr>
                <w:rFonts w:ascii="宋体" w:hAnsi="宋体" w:hint="eastAsia"/>
                <w:sz w:val="24"/>
              </w:rPr>
              <w:t>广电</w:t>
            </w:r>
            <w:r>
              <w:rPr>
                <w:rFonts w:ascii="宋体" w:hAnsi="宋体" w:hint="eastAsia"/>
                <w:sz w:val="24"/>
              </w:rPr>
              <w:t>财经频道</w:t>
            </w:r>
            <w:r w:rsidR="00DE0A28">
              <w:rPr>
                <w:rFonts w:ascii="宋体" w:hAnsi="宋体" w:hint="eastAsia"/>
                <w:sz w:val="24"/>
              </w:rPr>
              <w:t>记者</w:t>
            </w:r>
            <w:r w:rsidR="00617FCB">
              <w:rPr>
                <w:rFonts w:ascii="宋体" w:hAnsi="宋体" w:hint="eastAsia"/>
                <w:sz w:val="24"/>
              </w:rPr>
              <w:t xml:space="preserve"> </w:t>
            </w:r>
            <w:r w:rsidR="00DE0A28">
              <w:rPr>
                <w:rFonts w:ascii="宋体" w:hAnsi="宋体" w:hint="eastAsia"/>
                <w:sz w:val="24"/>
              </w:rPr>
              <w:t>马敬媛</w:t>
            </w:r>
          </w:p>
        </w:tc>
      </w:tr>
      <w:tr w:rsidR="00AA4D9A" w:rsidRPr="00CC5816" w:rsidTr="00CC5816">
        <w:tc>
          <w:tcPr>
            <w:tcW w:w="1908" w:type="dxa"/>
            <w:tcBorders>
              <w:top w:val="single" w:sz="4" w:space="0" w:color="auto"/>
              <w:left w:val="single" w:sz="4" w:space="0" w:color="auto"/>
              <w:bottom w:val="single" w:sz="4" w:space="0" w:color="auto"/>
              <w:right w:val="single" w:sz="4" w:space="0" w:color="auto"/>
            </w:tcBorders>
          </w:tcPr>
          <w:p w:rsidR="00AA4D9A" w:rsidRPr="00CC5816" w:rsidRDefault="00AA4D9A" w:rsidP="00CC5816">
            <w:pPr>
              <w:spacing w:line="480" w:lineRule="atLeast"/>
              <w:rPr>
                <w:rFonts w:ascii="宋体" w:hAnsi="宋体"/>
                <w:b/>
                <w:bCs/>
                <w:iCs/>
                <w:color w:val="000000"/>
                <w:sz w:val="24"/>
              </w:rPr>
            </w:pPr>
            <w:r w:rsidRPr="00CC5816">
              <w:rPr>
                <w:rFonts w:ascii="宋体" w:hAnsi="宋体" w:hint="eastAsia"/>
                <w:b/>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tcPr>
          <w:p w:rsidR="00AA4D9A" w:rsidRPr="00CC5816" w:rsidRDefault="001C385F" w:rsidP="00E00C64">
            <w:pPr>
              <w:spacing w:line="480" w:lineRule="atLeast"/>
              <w:rPr>
                <w:rFonts w:ascii="宋体" w:hAnsi="宋体"/>
                <w:bCs/>
                <w:iCs/>
                <w:color w:val="000000"/>
                <w:sz w:val="24"/>
              </w:rPr>
            </w:pPr>
            <w:r w:rsidRPr="00CC5816">
              <w:rPr>
                <w:rFonts w:ascii="宋体" w:hAnsi="宋体" w:hint="eastAsia"/>
                <w:bCs/>
                <w:iCs/>
                <w:color w:val="000000"/>
                <w:sz w:val="24"/>
              </w:rPr>
              <w:t>201</w:t>
            </w:r>
            <w:r w:rsidR="00C36A5A">
              <w:rPr>
                <w:rFonts w:ascii="宋体" w:hAnsi="宋体"/>
                <w:bCs/>
                <w:iCs/>
                <w:color w:val="000000"/>
                <w:sz w:val="24"/>
              </w:rPr>
              <w:t>9</w:t>
            </w:r>
            <w:r w:rsidRPr="00CC5816">
              <w:rPr>
                <w:rFonts w:ascii="宋体" w:hAnsi="宋体" w:hint="eastAsia"/>
                <w:bCs/>
                <w:iCs/>
                <w:color w:val="000000"/>
                <w:sz w:val="24"/>
              </w:rPr>
              <w:t>年</w:t>
            </w:r>
            <w:r w:rsidR="00E00C64">
              <w:rPr>
                <w:rFonts w:ascii="宋体" w:hAnsi="宋体" w:hint="eastAsia"/>
                <w:bCs/>
                <w:iCs/>
                <w:color w:val="000000"/>
                <w:sz w:val="24"/>
              </w:rPr>
              <w:t>6</w:t>
            </w:r>
            <w:r w:rsidR="00ED1C52" w:rsidRPr="00CC5816">
              <w:rPr>
                <w:rFonts w:ascii="宋体" w:hAnsi="宋体" w:hint="eastAsia"/>
                <w:bCs/>
                <w:iCs/>
                <w:color w:val="000000"/>
                <w:sz w:val="24"/>
              </w:rPr>
              <w:t>月</w:t>
            </w:r>
            <w:r w:rsidR="00E00C64">
              <w:rPr>
                <w:rFonts w:ascii="宋体" w:hAnsi="宋体" w:hint="eastAsia"/>
                <w:bCs/>
                <w:iCs/>
                <w:color w:val="000000"/>
                <w:sz w:val="24"/>
              </w:rPr>
              <w:t>5</w:t>
            </w:r>
            <w:r w:rsidR="00ED1C52" w:rsidRPr="00CC5816">
              <w:rPr>
                <w:rFonts w:ascii="宋体" w:hAnsi="宋体" w:hint="eastAsia"/>
                <w:bCs/>
                <w:iCs/>
                <w:color w:val="000000"/>
                <w:sz w:val="24"/>
              </w:rPr>
              <w:t xml:space="preserve">日 </w:t>
            </w:r>
          </w:p>
        </w:tc>
      </w:tr>
      <w:tr w:rsidR="00AA4D9A" w:rsidRPr="00CC5816" w:rsidTr="00CC5816">
        <w:tc>
          <w:tcPr>
            <w:tcW w:w="1908" w:type="dxa"/>
            <w:tcBorders>
              <w:top w:val="single" w:sz="4" w:space="0" w:color="auto"/>
              <w:left w:val="single" w:sz="4" w:space="0" w:color="auto"/>
              <w:bottom w:val="single" w:sz="4" w:space="0" w:color="auto"/>
              <w:right w:val="single" w:sz="4" w:space="0" w:color="auto"/>
            </w:tcBorders>
          </w:tcPr>
          <w:p w:rsidR="00AA4D9A" w:rsidRPr="00CC5816" w:rsidRDefault="00AA4D9A" w:rsidP="00CC5816">
            <w:pPr>
              <w:spacing w:line="480" w:lineRule="atLeast"/>
              <w:rPr>
                <w:rFonts w:ascii="宋体" w:hAnsi="宋体"/>
                <w:b/>
                <w:bCs/>
                <w:iCs/>
                <w:color w:val="000000"/>
                <w:sz w:val="24"/>
              </w:rPr>
            </w:pPr>
            <w:r w:rsidRPr="00CC5816">
              <w:rPr>
                <w:rFonts w:ascii="宋体" w:hAnsi="宋体" w:hint="eastAsia"/>
                <w:b/>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tcPr>
          <w:p w:rsidR="00AA4D9A" w:rsidRPr="00CC5816" w:rsidRDefault="00B32066" w:rsidP="00CC5816">
            <w:pPr>
              <w:spacing w:line="480" w:lineRule="atLeast"/>
              <w:rPr>
                <w:rFonts w:ascii="宋体" w:hAnsi="宋体"/>
                <w:bCs/>
                <w:iCs/>
                <w:color w:val="000000"/>
                <w:sz w:val="24"/>
              </w:rPr>
            </w:pPr>
            <w:r>
              <w:rPr>
                <w:rFonts w:ascii="宋体" w:hAnsi="宋体" w:hint="eastAsia"/>
                <w:bCs/>
                <w:iCs/>
                <w:color w:val="000000"/>
                <w:sz w:val="24"/>
              </w:rPr>
              <w:t>现场交流</w:t>
            </w:r>
          </w:p>
        </w:tc>
      </w:tr>
      <w:tr w:rsidR="00AA4D9A" w:rsidRPr="00CC5816" w:rsidTr="00CC5816">
        <w:tc>
          <w:tcPr>
            <w:tcW w:w="1908" w:type="dxa"/>
            <w:tcBorders>
              <w:top w:val="single" w:sz="4" w:space="0" w:color="auto"/>
              <w:left w:val="single" w:sz="4" w:space="0" w:color="auto"/>
              <w:bottom w:val="single" w:sz="4" w:space="0" w:color="auto"/>
              <w:right w:val="single" w:sz="4" w:space="0" w:color="auto"/>
            </w:tcBorders>
          </w:tcPr>
          <w:p w:rsidR="00AA4D9A" w:rsidRPr="00CC5816" w:rsidRDefault="00AA4D9A" w:rsidP="00CC5816">
            <w:pPr>
              <w:spacing w:line="480" w:lineRule="atLeast"/>
              <w:rPr>
                <w:rFonts w:ascii="宋体" w:hAnsi="宋体"/>
                <w:b/>
                <w:bCs/>
                <w:iCs/>
                <w:sz w:val="24"/>
              </w:rPr>
            </w:pPr>
            <w:r w:rsidRPr="00CC5816">
              <w:rPr>
                <w:rFonts w:ascii="宋体" w:hAnsi="宋体" w:hint="eastAsia"/>
                <w:b/>
                <w:bCs/>
                <w:iCs/>
                <w:sz w:val="24"/>
              </w:rPr>
              <w:t>上市公司接待人</w:t>
            </w:r>
          </w:p>
        </w:tc>
        <w:tc>
          <w:tcPr>
            <w:tcW w:w="6614" w:type="dxa"/>
            <w:tcBorders>
              <w:top w:val="single" w:sz="4" w:space="0" w:color="auto"/>
              <w:left w:val="single" w:sz="4" w:space="0" w:color="auto"/>
              <w:bottom w:val="single" w:sz="4" w:space="0" w:color="auto"/>
              <w:right w:val="single" w:sz="4" w:space="0" w:color="auto"/>
            </w:tcBorders>
          </w:tcPr>
          <w:p w:rsidR="00C42998" w:rsidRPr="00CC5816" w:rsidRDefault="00C36A5A" w:rsidP="00F13E52">
            <w:pPr>
              <w:spacing w:line="480" w:lineRule="atLeast"/>
              <w:rPr>
                <w:rFonts w:ascii="宋体" w:hAnsi="宋体"/>
                <w:bCs/>
                <w:iCs/>
                <w:sz w:val="24"/>
              </w:rPr>
            </w:pPr>
            <w:r>
              <w:rPr>
                <w:rFonts w:ascii="宋体" w:hAnsi="宋体" w:hint="eastAsia"/>
                <w:bCs/>
                <w:iCs/>
                <w:sz w:val="24"/>
              </w:rPr>
              <w:t>财务总监兼董事局秘书沈大凯</w:t>
            </w:r>
          </w:p>
        </w:tc>
      </w:tr>
      <w:tr w:rsidR="00AA4D9A" w:rsidRPr="00CC5816" w:rsidTr="00CC5816">
        <w:tc>
          <w:tcPr>
            <w:tcW w:w="1908" w:type="dxa"/>
            <w:tcBorders>
              <w:top w:val="single" w:sz="4" w:space="0" w:color="auto"/>
              <w:left w:val="single" w:sz="4" w:space="0" w:color="auto"/>
              <w:bottom w:val="single" w:sz="4" w:space="0" w:color="auto"/>
              <w:right w:val="single" w:sz="4" w:space="0" w:color="auto"/>
            </w:tcBorders>
            <w:vAlign w:val="center"/>
          </w:tcPr>
          <w:p w:rsidR="00AA4D9A" w:rsidRPr="00CC5816" w:rsidRDefault="00AA4D9A" w:rsidP="00CC5816">
            <w:pPr>
              <w:spacing w:line="480" w:lineRule="atLeast"/>
              <w:rPr>
                <w:rFonts w:ascii="宋体" w:hAnsi="宋体"/>
                <w:b/>
                <w:bCs/>
                <w:iCs/>
                <w:color w:val="000000"/>
                <w:sz w:val="24"/>
              </w:rPr>
            </w:pPr>
            <w:r w:rsidRPr="00CC5816">
              <w:rPr>
                <w:rFonts w:ascii="宋体" w:hAnsi="宋体" w:hint="eastAsia"/>
                <w:b/>
                <w:bCs/>
                <w:iCs/>
                <w:color w:val="000000"/>
                <w:sz w:val="24"/>
              </w:rPr>
              <w:t>投资者关系活动主要内容介绍</w:t>
            </w:r>
          </w:p>
          <w:p w:rsidR="00AA4D9A" w:rsidRPr="00CC5816" w:rsidRDefault="00AA4D9A" w:rsidP="00CC5816">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1C385F" w:rsidRDefault="00541962" w:rsidP="001C385F">
            <w:pPr>
              <w:autoSpaceDE w:val="0"/>
              <w:autoSpaceDN w:val="0"/>
              <w:adjustRightInd w:val="0"/>
              <w:spacing w:line="360" w:lineRule="auto"/>
              <w:ind w:firstLineChars="200" w:firstLine="480"/>
              <w:rPr>
                <w:rFonts w:ascii="宋体" w:hAnsi="宋体" w:cs="Arial"/>
                <w:kern w:val="0"/>
                <w:sz w:val="24"/>
              </w:rPr>
            </w:pPr>
            <w:r>
              <w:rPr>
                <w:rFonts w:ascii="宋体" w:hAnsi="宋体" w:cs="Arial" w:hint="eastAsia"/>
                <w:kern w:val="0"/>
                <w:sz w:val="24"/>
              </w:rPr>
              <w:t>6月5日深圳</w:t>
            </w:r>
            <w:r w:rsidR="00102178">
              <w:rPr>
                <w:rFonts w:ascii="宋体" w:hAnsi="宋体" w:cs="Arial" w:hint="eastAsia"/>
                <w:kern w:val="0"/>
                <w:sz w:val="24"/>
              </w:rPr>
              <w:t>广电</w:t>
            </w:r>
            <w:r>
              <w:rPr>
                <w:rFonts w:ascii="宋体" w:hAnsi="宋体" w:cs="Arial" w:hint="eastAsia"/>
                <w:kern w:val="0"/>
                <w:sz w:val="24"/>
              </w:rPr>
              <w:t>财经频道</w:t>
            </w:r>
            <w:r w:rsidR="00617FCB">
              <w:rPr>
                <w:rFonts w:ascii="宋体" w:hAnsi="宋体" w:cs="Arial" w:hint="eastAsia"/>
                <w:kern w:val="0"/>
                <w:sz w:val="24"/>
              </w:rPr>
              <w:t>记者</w:t>
            </w:r>
            <w:r w:rsidR="00AD02D8" w:rsidRPr="00AD02D8">
              <w:rPr>
                <w:rFonts w:ascii="宋体" w:hAnsi="宋体" w:cs="Arial" w:hint="eastAsia"/>
                <w:kern w:val="0"/>
                <w:sz w:val="24"/>
              </w:rPr>
              <w:t>就</w:t>
            </w:r>
            <w:r w:rsidR="00535C69">
              <w:rPr>
                <w:rFonts w:ascii="宋体" w:hAnsi="宋体" w:cs="Arial" w:hint="eastAsia"/>
                <w:kern w:val="0"/>
                <w:sz w:val="24"/>
              </w:rPr>
              <w:t>公司</w:t>
            </w:r>
            <w:r w:rsidR="00102178">
              <w:rPr>
                <w:rFonts w:ascii="宋体" w:hAnsi="宋体" w:cs="Arial" w:hint="eastAsia"/>
                <w:kern w:val="0"/>
                <w:sz w:val="24"/>
              </w:rPr>
              <w:t>相关</w:t>
            </w:r>
            <w:r w:rsidR="00AD02D8" w:rsidRPr="00AD02D8">
              <w:rPr>
                <w:rFonts w:ascii="宋体" w:hAnsi="宋体" w:cs="Arial" w:hint="eastAsia"/>
                <w:kern w:val="0"/>
                <w:sz w:val="24"/>
              </w:rPr>
              <w:t>情况</w:t>
            </w:r>
            <w:r w:rsidR="00B451AB">
              <w:rPr>
                <w:rFonts w:ascii="宋体" w:hAnsi="宋体" w:cs="Arial" w:hint="eastAsia"/>
                <w:kern w:val="0"/>
                <w:sz w:val="24"/>
              </w:rPr>
              <w:t>与公司</w:t>
            </w:r>
            <w:r w:rsidR="00B451AB">
              <w:rPr>
                <w:rFonts w:ascii="宋体" w:hAnsi="宋体" w:hint="eastAsia"/>
                <w:bCs/>
                <w:iCs/>
                <w:sz w:val="24"/>
              </w:rPr>
              <w:t>财务总监兼董事局秘书沈大凯</w:t>
            </w:r>
            <w:r w:rsidR="00C10881">
              <w:rPr>
                <w:rFonts w:ascii="宋体" w:hAnsi="宋体" w:cs="Arial" w:hint="eastAsia"/>
                <w:kern w:val="0"/>
                <w:sz w:val="24"/>
              </w:rPr>
              <w:t>进行了</w:t>
            </w:r>
            <w:r w:rsidR="00B451AB">
              <w:rPr>
                <w:rFonts w:ascii="宋体" w:hAnsi="宋体" w:cs="Arial" w:hint="eastAsia"/>
                <w:kern w:val="0"/>
                <w:sz w:val="24"/>
              </w:rPr>
              <w:t>交流</w:t>
            </w:r>
            <w:r w:rsidR="00C10881">
              <w:rPr>
                <w:rFonts w:ascii="宋体" w:hAnsi="宋体" w:cs="Arial" w:hint="eastAsia"/>
                <w:kern w:val="0"/>
                <w:sz w:val="24"/>
              </w:rPr>
              <w:t>。</w:t>
            </w:r>
          </w:p>
          <w:p w:rsidR="00C846C2" w:rsidRDefault="00C846C2" w:rsidP="00541962">
            <w:pPr>
              <w:spacing w:line="360" w:lineRule="auto"/>
              <w:ind w:firstLineChars="200" w:firstLine="482"/>
              <w:rPr>
                <w:rFonts w:cs="宋体"/>
                <w:b/>
                <w:kern w:val="0"/>
                <w:sz w:val="24"/>
              </w:rPr>
            </w:pPr>
            <w:r>
              <w:rPr>
                <w:rFonts w:ascii="宋体" w:hAnsi="宋体" w:hint="eastAsia"/>
                <w:b/>
                <w:sz w:val="24"/>
              </w:rPr>
              <w:t>1、问：公司近年</w:t>
            </w:r>
            <w:r w:rsidRPr="008E5590">
              <w:rPr>
                <w:rFonts w:cs="宋体" w:hint="eastAsia"/>
                <w:b/>
                <w:kern w:val="0"/>
                <w:sz w:val="24"/>
              </w:rPr>
              <w:t>开展资产收购的背景及必要性</w:t>
            </w:r>
            <w:r>
              <w:rPr>
                <w:rFonts w:cs="宋体" w:hint="eastAsia"/>
                <w:b/>
                <w:kern w:val="0"/>
                <w:sz w:val="24"/>
              </w:rPr>
              <w:t>？</w:t>
            </w:r>
          </w:p>
          <w:p w:rsidR="00274BFF" w:rsidRPr="000B15EC" w:rsidRDefault="00C846C2" w:rsidP="00274BFF">
            <w:pPr>
              <w:spacing w:line="360" w:lineRule="auto"/>
              <w:ind w:firstLineChars="200" w:firstLine="482"/>
              <w:rPr>
                <w:kern w:val="0"/>
                <w:sz w:val="24"/>
              </w:rPr>
            </w:pPr>
            <w:r>
              <w:rPr>
                <w:rFonts w:ascii="宋体" w:hAnsi="宋体" w:hint="eastAsia"/>
                <w:b/>
                <w:sz w:val="24"/>
              </w:rPr>
              <w:t>答：</w:t>
            </w:r>
            <w:r w:rsidR="00274BFF" w:rsidRPr="000B15EC">
              <w:rPr>
                <w:kern w:val="0"/>
                <w:sz w:val="24"/>
              </w:rPr>
              <w:t>2014</w:t>
            </w:r>
            <w:r w:rsidR="00274BFF" w:rsidRPr="000B15EC">
              <w:rPr>
                <w:kern w:val="0"/>
                <w:sz w:val="24"/>
              </w:rPr>
              <w:t>年以来，药品流通行业主管部门以贯彻落实《国务院关于进一步优化企业兼并重组市场环境的意见》（国发【</w:t>
            </w:r>
            <w:r w:rsidR="00274BFF" w:rsidRPr="000B15EC">
              <w:rPr>
                <w:kern w:val="0"/>
                <w:sz w:val="24"/>
              </w:rPr>
              <w:t>2014</w:t>
            </w:r>
            <w:r w:rsidR="00274BFF" w:rsidRPr="000B15EC">
              <w:rPr>
                <w:kern w:val="0"/>
                <w:sz w:val="24"/>
              </w:rPr>
              <w:t>】</w:t>
            </w:r>
            <w:r w:rsidR="00274BFF" w:rsidRPr="000B15EC">
              <w:rPr>
                <w:kern w:val="0"/>
                <w:sz w:val="24"/>
              </w:rPr>
              <w:t>14</w:t>
            </w:r>
            <w:r w:rsidR="00274BFF" w:rsidRPr="000B15EC">
              <w:rPr>
                <w:kern w:val="0"/>
                <w:sz w:val="24"/>
              </w:rPr>
              <w:t>号文）为契机，鼓励企业兼并重组、做大做强，提高行业集中度，鼓励药品流通企业利用产业基金、上市融资、引进外资等多种方式加快兼并重组步伐，努力提高行业组织化水平，实现规模化、集约化经营。《全国药品流通行业发展规划（</w:t>
            </w:r>
            <w:r w:rsidR="00274BFF" w:rsidRPr="000B15EC">
              <w:rPr>
                <w:kern w:val="0"/>
                <w:sz w:val="24"/>
              </w:rPr>
              <w:t>2016-2020</w:t>
            </w:r>
            <w:r w:rsidR="00274BFF" w:rsidRPr="000B15EC">
              <w:rPr>
                <w:kern w:val="0"/>
                <w:sz w:val="24"/>
              </w:rPr>
              <w:t>）》提出要培育形成一批网络覆盖全国、集约化和信息化程度较高的大型药品流通企业。药品批发百强企业年销售额占药品批发市场总额</w:t>
            </w:r>
            <w:r w:rsidR="00274BFF" w:rsidRPr="000B15EC">
              <w:rPr>
                <w:kern w:val="0"/>
                <w:sz w:val="24"/>
              </w:rPr>
              <w:t>90%</w:t>
            </w:r>
            <w:r w:rsidR="00274BFF" w:rsidRPr="000B15EC">
              <w:rPr>
                <w:kern w:val="0"/>
                <w:sz w:val="24"/>
              </w:rPr>
              <w:t>以上；药品零售百强企业年销售额占药品零售市场总额</w:t>
            </w:r>
            <w:r w:rsidR="00274BFF" w:rsidRPr="000B15EC">
              <w:rPr>
                <w:kern w:val="0"/>
                <w:sz w:val="24"/>
              </w:rPr>
              <w:t>40%</w:t>
            </w:r>
            <w:r w:rsidR="00274BFF" w:rsidRPr="000B15EC">
              <w:rPr>
                <w:kern w:val="0"/>
                <w:sz w:val="24"/>
              </w:rPr>
              <w:t>以上；药品零售连锁率达</w:t>
            </w:r>
            <w:r w:rsidR="00274BFF" w:rsidRPr="000B15EC">
              <w:rPr>
                <w:kern w:val="0"/>
                <w:sz w:val="24"/>
              </w:rPr>
              <w:t>50%</w:t>
            </w:r>
            <w:r w:rsidR="00274BFF" w:rsidRPr="000B15EC">
              <w:rPr>
                <w:kern w:val="0"/>
                <w:sz w:val="24"/>
              </w:rPr>
              <w:t>以上。</w:t>
            </w:r>
          </w:p>
          <w:p w:rsidR="00274BFF" w:rsidRPr="004A788F" w:rsidRDefault="00274BFF" w:rsidP="00274BFF">
            <w:pPr>
              <w:spacing w:line="360" w:lineRule="auto"/>
              <w:ind w:firstLineChars="200" w:firstLine="480"/>
              <w:outlineLvl w:val="0"/>
              <w:rPr>
                <w:sz w:val="24"/>
              </w:rPr>
            </w:pPr>
            <w:r w:rsidRPr="004A788F">
              <w:rPr>
                <w:sz w:val="24"/>
              </w:rPr>
              <w:lastRenderedPageBreak/>
              <w:t>2016</w:t>
            </w:r>
            <w:r w:rsidRPr="004A788F">
              <w:rPr>
                <w:sz w:val="24"/>
              </w:rPr>
              <w:t>年</w:t>
            </w:r>
            <w:r w:rsidRPr="004A788F">
              <w:rPr>
                <w:sz w:val="24"/>
              </w:rPr>
              <w:t>4</w:t>
            </w:r>
            <w:r w:rsidRPr="004A788F">
              <w:rPr>
                <w:sz w:val="24"/>
              </w:rPr>
              <w:t>月</w:t>
            </w:r>
            <w:r w:rsidRPr="004A788F">
              <w:rPr>
                <w:sz w:val="24"/>
              </w:rPr>
              <w:t>21</w:t>
            </w:r>
            <w:r w:rsidRPr="004A788F">
              <w:rPr>
                <w:sz w:val="24"/>
              </w:rPr>
              <w:t>日，国务院印发《深化医药卫生体制改革</w:t>
            </w:r>
            <w:r w:rsidRPr="004A788F">
              <w:rPr>
                <w:sz w:val="24"/>
              </w:rPr>
              <w:t>2016</w:t>
            </w:r>
            <w:r w:rsidRPr="004A788F">
              <w:rPr>
                <w:sz w:val="24"/>
              </w:rPr>
              <w:t>年重点工作任务》，其中鼓励实行分类采购。综合医改试点省要在全省范围内推行</w:t>
            </w:r>
            <w:r w:rsidRPr="004A788F">
              <w:rPr>
                <w:sz w:val="24"/>
              </w:rPr>
              <w:t>“</w:t>
            </w:r>
            <w:r w:rsidRPr="004A788F">
              <w:rPr>
                <w:sz w:val="24"/>
              </w:rPr>
              <w:t>两票制</w:t>
            </w:r>
            <w:r w:rsidRPr="004A788F">
              <w:rPr>
                <w:sz w:val="24"/>
              </w:rPr>
              <w:t>”</w:t>
            </w:r>
            <w:r w:rsidRPr="004A788F">
              <w:rPr>
                <w:sz w:val="24"/>
              </w:rPr>
              <w:t>（生产企业到流通企业开一次发票，流通企业到医疗机构开一次发票），积极鼓励公立医院改革试点城市推行</w:t>
            </w:r>
            <w:r w:rsidRPr="004A788F">
              <w:rPr>
                <w:sz w:val="24"/>
              </w:rPr>
              <w:t>“</w:t>
            </w:r>
            <w:r w:rsidRPr="004A788F">
              <w:rPr>
                <w:sz w:val="24"/>
              </w:rPr>
              <w:t>两票制</w:t>
            </w:r>
            <w:r w:rsidRPr="004A788F">
              <w:rPr>
                <w:sz w:val="24"/>
              </w:rPr>
              <w:t>”</w:t>
            </w:r>
            <w:r w:rsidRPr="004A788F">
              <w:rPr>
                <w:sz w:val="24"/>
              </w:rPr>
              <w:t>。逐步增加国家药品价格谈判药品品种数量，合理降低专利药品和独家生产药品价格。进一步推进高值医用耗材集中采购、网上公开交易等。</w:t>
            </w:r>
          </w:p>
          <w:p w:rsidR="00274BFF" w:rsidRPr="004A788F" w:rsidRDefault="00274BFF" w:rsidP="00274BFF">
            <w:pPr>
              <w:spacing w:line="360" w:lineRule="auto"/>
              <w:ind w:firstLineChars="200" w:firstLine="480"/>
              <w:outlineLvl w:val="0"/>
              <w:rPr>
                <w:sz w:val="24"/>
              </w:rPr>
            </w:pPr>
            <w:r w:rsidRPr="004A788F">
              <w:rPr>
                <w:sz w:val="24"/>
              </w:rPr>
              <w:t>2017</w:t>
            </w:r>
            <w:r w:rsidRPr="004A788F">
              <w:rPr>
                <w:sz w:val="24"/>
              </w:rPr>
              <w:t>年</w:t>
            </w:r>
            <w:r w:rsidRPr="004A788F">
              <w:rPr>
                <w:sz w:val="24"/>
              </w:rPr>
              <w:t>1</w:t>
            </w:r>
            <w:r w:rsidRPr="004A788F">
              <w:rPr>
                <w:sz w:val="24"/>
              </w:rPr>
              <w:t>月</w:t>
            </w:r>
            <w:r w:rsidRPr="004A788F">
              <w:rPr>
                <w:sz w:val="24"/>
              </w:rPr>
              <w:t>9</w:t>
            </w:r>
            <w:r w:rsidRPr="004A788F">
              <w:rPr>
                <w:sz w:val="24"/>
              </w:rPr>
              <w:t>日，国务院医改办会同国家卫生计生委等</w:t>
            </w:r>
            <w:r w:rsidRPr="004A788F">
              <w:rPr>
                <w:sz w:val="24"/>
              </w:rPr>
              <w:t>8</w:t>
            </w:r>
            <w:r w:rsidRPr="004A788F">
              <w:rPr>
                <w:sz w:val="24"/>
              </w:rPr>
              <w:t>部门联合印发《关于在公立医疗机构药品采购中推行</w:t>
            </w:r>
            <w:r w:rsidRPr="004A788F">
              <w:rPr>
                <w:sz w:val="24"/>
              </w:rPr>
              <w:t>“</w:t>
            </w:r>
            <w:r w:rsidRPr="004A788F">
              <w:rPr>
                <w:sz w:val="24"/>
              </w:rPr>
              <w:t>两票制</w:t>
            </w:r>
            <w:r w:rsidRPr="004A788F">
              <w:rPr>
                <w:sz w:val="24"/>
              </w:rPr>
              <w:t>”</w:t>
            </w:r>
            <w:r w:rsidRPr="004A788F">
              <w:rPr>
                <w:sz w:val="24"/>
              </w:rPr>
              <w:t>的实施意见</w:t>
            </w:r>
            <w:r w:rsidRPr="004A788F">
              <w:rPr>
                <w:sz w:val="24"/>
              </w:rPr>
              <w:t>(</w:t>
            </w:r>
            <w:r w:rsidRPr="004A788F">
              <w:rPr>
                <w:sz w:val="24"/>
              </w:rPr>
              <w:t>试行</w:t>
            </w:r>
            <w:r w:rsidRPr="004A788F">
              <w:rPr>
                <w:sz w:val="24"/>
              </w:rPr>
              <w:t>)</w:t>
            </w:r>
            <w:r w:rsidRPr="004A788F">
              <w:rPr>
                <w:sz w:val="24"/>
              </w:rPr>
              <w:t>的通知》</w:t>
            </w:r>
            <w:r w:rsidRPr="004A788F">
              <w:rPr>
                <w:sz w:val="24"/>
              </w:rPr>
              <w:t>,</w:t>
            </w:r>
            <w:r w:rsidRPr="004A788F">
              <w:rPr>
                <w:sz w:val="24"/>
              </w:rPr>
              <w:t>规定在公立医疗机构药品采购中推行</w:t>
            </w:r>
            <w:r w:rsidRPr="004A788F">
              <w:rPr>
                <w:sz w:val="24"/>
              </w:rPr>
              <w:t>“</w:t>
            </w:r>
            <w:r w:rsidRPr="004A788F">
              <w:rPr>
                <w:sz w:val="24"/>
              </w:rPr>
              <w:t>两票制</w:t>
            </w:r>
            <w:r w:rsidRPr="004A788F">
              <w:rPr>
                <w:sz w:val="24"/>
              </w:rPr>
              <w:t>”</w:t>
            </w:r>
            <w:r w:rsidRPr="004A788F">
              <w:rPr>
                <w:sz w:val="24"/>
              </w:rPr>
              <w:t>。《通知》要求</w:t>
            </w:r>
            <w:r w:rsidRPr="004A788F">
              <w:rPr>
                <w:sz w:val="24"/>
              </w:rPr>
              <w:t>,</w:t>
            </w:r>
            <w:r w:rsidRPr="004A788F">
              <w:rPr>
                <w:sz w:val="24"/>
              </w:rPr>
              <w:t>综合医改试点省</w:t>
            </w:r>
            <w:r w:rsidRPr="004A788F">
              <w:rPr>
                <w:sz w:val="24"/>
              </w:rPr>
              <w:t>(</w:t>
            </w:r>
            <w:r w:rsidRPr="004A788F">
              <w:rPr>
                <w:sz w:val="24"/>
              </w:rPr>
              <w:t>区、市</w:t>
            </w:r>
            <w:r w:rsidRPr="004A788F">
              <w:rPr>
                <w:sz w:val="24"/>
              </w:rPr>
              <w:t>)</w:t>
            </w:r>
            <w:r w:rsidRPr="004A788F">
              <w:rPr>
                <w:sz w:val="24"/>
              </w:rPr>
              <w:t>和公立医院改革试点城市的公立医疗机构要率先执行</w:t>
            </w:r>
            <w:r w:rsidRPr="004A788F">
              <w:rPr>
                <w:sz w:val="24"/>
              </w:rPr>
              <w:t>“</w:t>
            </w:r>
            <w:r w:rsidRPr="004A788F">
              <w:rPr>
                <w:sz w:val="24"/>
              </w:rPr>
              <w:t>两票制</w:t>
            </w:r>
            <w:r w:rsidRPr="004A788F">
              <w:rPr>
                <w:sz w:val="24"/>
              </w:rPr>
              <w:t>”</w:t>
            </w:r>
            <w:r w:rsidRPr="004A788F">
              <w:rPr>
                <w:sz w:val="24"/>
              </w:rPr>
              <w:t>，鼓励其它地区推行</w:t>
            </w:r>
            <w:r w:rsidRPr="004A788F">
              <w:rPr>
                <w:sz w:val="24"/>
              </w:rPr>
              <w:t>“</w:t>
            </w:r>
            <w:r w:rsidRPr="004A788F">
              <w:rPr>
                <w:sz w:val="24"/>
              </w:rPr>
              <w:t>两票制</w:t>
            </w:r>
            <w:r w:rsidRPr="004A788F">
              <w:rPr>
                <w:sz w:val="24"/>
              </w:rPr>
              <w:t>”</w:t>
            </w:r>
            <w:r w:rsidRPr="004A788F">
              <w:rPr>
                <w:sz w:val="24"/>
              </w:rPr>
              <w:t>。</w:t>
            </w:r>
            <w:r w:rsidRPr="004A788F">
              <w:rPr>
                <w:sz w:val="24"/>
              </w:rPr>
              <w:t xml:space="preserve"> </w:t>
            </w:r>
          </w:p>
          <w:p w:rsidR="00274BFF" w:rsidRPr="004A788F" w:rsidRDefault="00274BFF" w:rsidP="00274BFF">
            <w:pPr>
              <w:spacing w:line="360" w:lineRule="auto"/>
              <w:ind w:firstLineChars="200" w:firstLine="480"/>
              <w:outlineLvl w:val="0"/>
              <w:rPr>
                <w:sz w:val="24"/>
              </w:rPr>
            </w:pPr>
            <w:r w:rsidRPr="004A788F">
              <w:rPr>
                <w:sz w:val="24"/>
              </w:rPr>
              <w:t>2019</w:t>
            </w:r>
            <w:r w:rsidRPr="004A788F">
              <w:rPr>
                <w:sz w:val="24"/>
              </w:rPr>
              <w:t>年</w:t>
            </w:r>
            <w:r w:rsidRPr="004A788F">
              <w:rPr>
                <w:sz w:val="24"/>
              </w:rPr>
              <w:t>1</w:t>
            </w:r>
            <w:r w:rsidRPr="004A788F">
              <w:rPr>
                <w:sz w:val="24"/>
              </w:rPr>
              <w:t>月</w:t>
            </w:r>
            <w:r w:rsidRPr="004A788F">
              <w:rPr>
                <w:sz w:val="24"/>
              </w:rPr>
              <w:t>1</w:t>
            </w:r>
            <w:r w:rsidRPr="004A788F">
              <w:rPr>
                <w:sz w:val="24"/>
              </w:rPr>
              <w:t>日，国务院发布《国务院办公厅关于印发国家组织药品集中采购和使用试点方案的通知》（国办发〔</w:t>
            </w:r>
            <w:r w:rsidRPr="004A788F">
              <w:rPr>
                <w:sz w:val="24"/>
              </w:rPr>
              <w:t>2019</w:t>
            </w:r>
            <w:r w:rsidRPr="004A788F">
              <w:rPr>
                <w:sz w:val="24"/>
              </w:rPr>
              <w:t>〕</w:t>
            </w:r>
            <w:r w:rsidRPr="004A788F">
              <w:rPr>
                <w:sz w:val="24"/>
              </w:rPr>
              <w:t>2</w:t>
            </w:r>
            <w:r w:rsidRPr="004A788F">
              <w:rPr>
                <w:sz w:val="24"/>
              </w:rPr>
              <w:t>号）。明确提出根据党中央、国务院部署，为深化医药卫生体制改革，完善药品价格形成机制，开展国家组织药品集中采购和使用试点，要降低企业交易成本，净化流通环境，改善行业生态。</w:t>
            </w:r>
          </w:p>
          <w:p w:rsidR="00274BFF" w:rsidRPr="00D07189" w:rsidRDefault="00274BFF" w:rsidP="00274BFF">
            <w:pPr>
              <w:spacing w:line="360" w:lineRule="auto"/>
              <w:ind w:firstLineChars="200" w:firstLine="480"/>
              <w:rPr>
                <w:sz w:val="24"/>
              </w:rPr>
            </w:pPr>
            <w:r w:rsidRPr="00D07189">
              <w:rPr>
                <w:sz w:val="24"/>
              </w:rPr>
              <w:t>随着</w:t>
            </w:r>
            <w:r w:rsidRPr="00D07189">
              <w:rPr>
                <w:sz w:val="24"/>
              </w:rPr>
              <w:t>“</w:t>
            </w:r>
            <w:r w:rsidRPr="00D07189">
              <w:rPr>
                <w:sz w:val="24"/>
              </w:rPr>
              <w:t>健康中国</w:t>
            </w:r>
            <w:r w:rsidRPr="00D07189">
              <w:rPr>
                <w:sz w:val="24"/>
              </w:rPr>
              <w:t>2030”</w:t>
            </w:r>
            <w:r w:rsidRPr="00D07189">
              <w:rPr>
                <w:sz w:val="24"/>
              </w:rPr>
              <w:t>规划部署落实，</w:t>
            </w:r>
            <w:r w:rsidRPr="00D07189">
              <w:rPr>
                <w:sz w:val="24"/>
              </w:rPr>
              <w:t>“</w:t>
            </w:r>
            <w:r w:rsidRPr="00D07189">
              <w:rPr>
                <w:sz w:val="24"/>
              </w:rPr>
              <w:t>两票制</w:t>
            </w:r>
            <w:r w:rsidRPr="00D07189">
              <w:rPr>
                <w:sz w:val="24"/>
              </w:rPr>
              <w:t>”</w:t>
            </w:r>
            <w:r w:rsidRPr="00D07189">
              <w:rPr>
                <w:sz w:val="24"/>
              </w:rPr>
              <w:t>、仿制药质量和疗效一致性评价、</w:t>
            </w:r>
            <w:r>
              <w:rPr>
                <w:rFonts w:hint="eastAsia"/>
                <w:sz w:val="24"/>
              </w:rPr>
              <w:t>医疗机构</w:t>
            </w:r>
            <w:r w:rsidRPr="00D07189">
              <w:rPr>
                <w:sz w:val="24"/>
              </w:rPr>
              <w:t>药品零加成等政策的实施，中国医药行业</w:t>
            </w:r>
            <w:r>
              <w:rPr>
                <w:rFonts w:hint="eastAsia"/>
                <w:sz w:val="24"/>
              </w:rPr>
              <w:t>供给侧改革不断深化，</w:t>
            </w:r>
            <w:r w:rsidRPr="00D07189">
              <w:rPr>
                <w:sz w:val="24"/>
              </w:rPr>
              <w:t>整体运行</w:t>
            </w:r>
            <w:r>
              <w:rPr>
                <w:rFonts w:hint="eastAsia"/>
                <w:sz w:val="24"/>
              </w:rPr>
              <w:t>进入相对低增长率阶段</w:t>
            </w:r>
            <w:r w:rsidRPr="00D07189">
              <w:rPr>
                <w:sz w:val="24"/>
              </w:rPr>
              <w:t>、行业分化</w:t>
            </w:r>
            <w:r>
              <w:rPr>
                <w:rFonts w:hint="eastAsia"/>
                <w:sz w:val="24"/>
              </w:rPr>
              <w:t>重组</w:t>
            </w:r>
            <w:r w:rsidRPr="00D07189">
              <w:rPr>
                <w:sz w:val="24"/>
              </w:rPr>
              <w:t>趋势加剧</w:t>
            </w:r>
            <w:r>
              <w:rPr>
                <w:rFonts w:hint="eastAsia"/>
                <w:sz w:val="24"/>
              </w:rPr>
              <w:t>，对行业小散乱格局产生极大的影响。</w:t>
            </w:r>
            <w:r w:rsidRPr="00D07189">
              <w:rPr>
                <w:sz w:val="24"/>
              </w:rPr>
              <w:t>医药商业流通环节得到进一步的压缩，</w:t>
            </w:r>
            <w:r>
              <w:rPr>
                <w:rFonts w:hint="eastAsia"/>
                <w:sz w:val="24"/>
              </w:rPr>
              <w:t>大型</w:t>
            </w:r>
            <w:r w:rsidRPr="00D07189">
              <w:rPr>
                <w:sz w:val="24"/>
              </w:rPr>
              <w:t>医药流通企业更加注重发展</w:t>
            </w:r>
            <w:r>
              <w:rPr>
                <w:rFonts w:hint="eastAsia"/>
                <w:sz w:val="24"/>
              </w:rPr>
              <w:t>代理分销和</w:t>
            </w:r>
            <w:r w:rsidRPr="00D07189">
              <w:rPr>
                <w:sz w:val="24"/>
              </w:rPr>
              <w:t>纯销业务，注重</w:t>
            </w:r>
            <w:r>
              <w:rPr>
                <w:rFonts w:hint="eastAsia"/>
                <w:sz w:val="24"/>
              </w:rPr>
              <w:t>全国和</w:t>
            </w:r>
            <w:r w:rsidRPr="00D07189">
              <w:rPr>
                <w:sz w:val="24"/>
              </w:rPr>
              <w:t>区域流通网络的布局。全行业</w:t>
            </w:r>
            <w:r>
              <w:rPr>
                <w:rFonts w:hint="eastAsia"/>
                <w:sz w:val="24"/>
              </w:rPr>
              <w:t>集中度不断提升，</w:t>
            </w:r>
            <w:r w:rsidRPr="00D07189">
              <w:rPr>
                <w:sz w:val="24"/>
              </w:rPr>
              <w:t>信誉度高、规范性强、终端覆盖广、销售能力强的大型药品流通企业市场占有率迅速提升，并逐步倒逼药品零售、物流、电商行业加速集约化、信息化、标准化进程，最终实现行业格局的全面调整。《全国药品</w:t>
            </w:r>
            <w:r w:rsidRPr="00D07189">
              <w:rPr>
                <w:sz w:val="24"/>
              </w:rPr>
              <w:lastRenderedPageBreak/>
              <w:t>流通行业发展规划（</w:t>
            </w:r>
            <w:r w:rsidRPr="00D07189">
              <w:rPr>
                <w:sz w:val="24"/>
              </w:rPr>
              <w:t>2016-2020</w:t>
            </w:r>
            <w:r w:rsidRPr="00D07189">
              <w:rPr>
                <w:sz w:val="24"/>
              </w:rPr>
              <w:t>）》提出，到</w:t>
            </w:r>
            <w:r w:rsidRPr="00D07189">
              <w:rPr>
                <w:sz w:val="24"/>
              </w:rPr>
              <w:t>2020</w:t>
            </w:r>
            <w:r w:rsidRPr="00D07189">
              <w:rPr>
                <w:sz w:val="24"/>
              </w:rPr>
              <w:t>年要培育形成一批网络覆盖全国、集约化和信息化程度较高的大型药品流通企业，药品批发百强企业年销售额占药品批发市场总额</w:t>
            </w:r>
            <w:r w:rsidRPr="00D07189">
              <w:rPr>
                <w:sz w:val="24"/>
              </w:rPr>
              <w:t>90%</w:t>
            </w:r>
            <w:r w:rsidRPr="00D07189">
              <w:rPr>
                <w:sz w:val="24"/>
              </w:rPr>
              <w:t>以上。</w:t>
            </w:r>
          </w:p>
          <w:p w:rsidR="00274BFF" w:rsidRDefault="00274BFF" w:rsidP="00274BFF">
            <w:pPr>
              <w:spacing w:line="360" w:lineRule="auto"/>
              <w:ind w:firstLineChars="200" w:firstLine="480"/>
              <w:rPr>
                <w:sz w:val="24"/>
              </w:rPr>
            </w:pPr>
            <w:r>
              <w:rPr>
                <w:rFonts w:hint="eastAsia"/>
                <w:sz w:val="24"/>
              </w:rPr>
              <w:t>鉴于此，</w:t>
            </w:r>
            <w:r w:rsidRPr="00D07189">
              <w:rPr>
                <w:sz w:val="24"/>
              </w:rPr>
              <w:t>全国性及区域性龙头医药流通企业</w:t>
            </w:r>
            <w:r>
              <w:rPr>
                <w:rFonts w:hint="eastAsia"/>
                <w:sz w:val="24"/>
              </w:rPr>
              <w:t>均纷纷</w:t>
            </w:r>
            <w:r w:rsidRPr="00D07189">
              <w:rPr>
                <w:sz w:val="24"/>
              </w:rPr>
              <w:t>通过并购整合扩大医药终端覆盖数量、做大收入体量，</w:t>
            </w:r>
            <w:r>
              <w:rPr>
                <w:rFonts w:hint="eastAsia"/>
                <w:sz w:val="24"/>
              </w:rPr>
              <w:t>推动</w:t>
            </w:r>
            <w:r w:rsidRPr="00D07189">
              <w:rPr>
                <w:sz w:val="24"/>
              </w:rPr>
              <w:t>医药流通行业的集中度</w:t>
            </w:r>
            <w:r>
              <w:rPr>
                <w:rFonts w:hint="eastAsia"/>
                <w:sz w:val="24"/>
              </w:rPr>
              <w:t>持续提升</w:t>
            </w:r>
            <w:r w:rsidRPr="00D07189">
              <w:rPr>
                <w:sz w:val="24"/>
              </w:rPr>
              <w:t>。地方性、单体的、未形成区域流通网络布局的医药商业流通公司</w:t>
            </w:r>
            <w:r>
              <w:rPr>
                <w:rFonts w:hint="eastAsia"/>
                <w:sz w:val="24"/>
              </w:rPr>
              <w:t>受到巨大冲击，纷纷寻求全国性及区域性龙头医药流通企业合并重组机会，行业洗牌过程不断加快。</w:t>
            </w:r>
          </w:p>
          <w:p w:rsidR="00274BFF" w:rsidRPr="006A1F01" w:rsidRDefault="00274BFF" w:rsidP="00274BFF">
            <w:pPr>
              <w:spacing w:line="360" w:lineRule="auto"/>
              <w:ind w:firstLineChars="200" w:firstLine="480"/>
              <w:rPr>
                <w:sz w:val="24"/>
              </w:rPr>
            </w:pPr>
            <w:r>
              <w:rPr>
                <w:rFonts w:hint="eastAsia"/>
                <w:sz w:val="24"/>
              </w:rPr>
              <w:t>这样的市场变局环境给海王生物的生存和发展带来巨大压力，同时也提供了巨大的发展机遇，海王生物只有抓住机遇，内生增长与收购兼并同步进行，才能够</w:t>
            </w:r>
            <w:r w:rsidRPr="006A1F01">
              <w:rPr>
                <w:rFonts w:hint="eastAsia"/>
                <w:sz w:val="24"/>
              </w:rPr>
              <w:t>在激烈的市场竞争环境中生存</w:t>
            </w:r>
            <w:r>
              <w:rPr>
                <w:rFonts w:hint="eastAsia"/>
                <w:sz w:val="24"/>
              </w:rPr>
              <w:t>下去</w:t>
            </w:r>
            <w:r w:rsidRPr="006A1F01">
              <w:rPr>
                <w:rFonts w:hint="eastAsia"/>
                <w:sz w:val="24"/>
              </w:rPr>
              <w:t>并逐步</w:t>
            </w:r>
            <w:r>
              <w:rPr>
                <w:rFonts w:hint="eastAsia"/>
                <w:sz w:val="24"/>
              </w:rPr>
              <w:t>做强</w:t>
            </w:r>
            <w:r w:rsidRPr="006A1F01">
              <w:rPr>
                <w:rFonts w:hint="eastAsia"/>
                <w:sz w:val="24"/>
              </w:rPr>
              <w:t>做大，公司</w:t>
            </w:r>
            <w:r>
              <w:rPr>
                <w:rFonts w:hint="eastAsia"/>
                <w:sz w:val="24"/>
              </w:rPr>
              <w:t>以区域强势、在全国具有影响力为战略目标，以科技化转型为抓手，加大了收购兼并力度</w:t>
            </w:r>
            <w:r w:rsidRPr="006A1F01">
              <w:rPr>
                <w:rFonts w:hint="eastAsia"/>
                <w:sz w:val="24"/>
              </w:rPr>
              <w:t>。</w:t>
            </w:r>
          </w:p>
          <w:p w:rsidR="00274BFF" w:rsidRPr="000B15EC" w:rsidRDefault="00274BFF" w:rsidP="00274BFF">
            <w:pPr>
              <w:spacing w:line="360" w:lineRule="auto"/>
              <w:ind w:firstLineChars="200" w:firstLine="480"/>
              <w:rPr>
                <w:kern w:val="0"/>
                <w:sz w:val="24"/>
              </w:rPr>
            </w:pPr>
            <w:r>
              <w:rPr>
                <w:rFonts w:hint="eastAsia"/>
                <w:kern w:val="0"/>
                <w:sz w:val="24"/>
              </w:rPr>
              <w:t>在收购兼并过程中，公司一贯坚持质量优先、合理估值、严格风控、协同发展、优胜劣汰的原则，严格预算管理和投后管理，经营规模持续扩大，运营质量持续提升，行业影响力持续提高，</w:t>
            </w:r>
            <w:r w:rsidRPr="000B15EC">
              <w:rPr>
                <w:sz w:val="24"/>
              </w:rPr>
              <w:t>根据中国医药商业协会发布的</w:t>
            </w:r>
            <w:r w:rsidRPr="000B15EC">
              <w:rPr>
                <w:sz w:val="24"/>
              </w:rPr>
              <w:t>“2018</w:t>
            </w:r>
            <w:r w:rsidRPr="000B15EC">
              <w:rPr>
                <w:sz w:val="24"/>
              </w:rPr>
              <w:t>年中国药品批发企业主营业务收入排名</w:t>
            </w:r>
            <w:r w:rsidRPr="000B15EC">
              <w:rPr>
                <w:sz w:val="24"/>
              </w:rPr>
              <w:t>”</w:t>
            </w:r>
            <w:r w:rsidRPr="000B15EC">
              <w:rPr>
                <w:sz w:val="24"/>
              </w:rPr>
              <w:t>，公司医药商业规模排名全国第六名。</w:t>
            </w:r>
          </w:p>
          <w:p w:rsidR="00C846C2" w:rsidRPr="00274BFF" w:rsidRDefault="00C846C2" w:rsidP="00541962">
            <w:pPr>
              <w:spacing w:line="360" w:lineRule="auto"/>
              <w:ind w:firstLineChars="200" w:firstLine="482"/>
              <w:rPr>
                <w:rFonts w:ascii="宋体" w:hAnsi="宋体"/>
                <w:b/>
                <w:sz w:val="24"/>
              </w:rPr>
            </w:pPr>
          </w:p>
          <w:p w:rsidR="00541962" w:rsidRPr="00E00C64" w:rsidRDefault="00102178" w:rsidP="00541962">
            <w:pPr>
              <w:spacing w:line="360" w:lineRule="auto"/>
              <w:ind w:firstLineChars="200" w:firstLine="482"/>
              <w:rPr>
                <w:rFonts w:ascii="宋体" w:hAnsi="宋体"/>
                <w:b/>
                <w:sz w:val="24"/>
              </w:rPr>
            </w:pPr>
            <w:r>
              <w:rPr>
                <w:rFonts w:ascii="宋体" w:hAnsi="宋体"/>
                <w:b/>
                <w:sz w:val="24"/>
              </w:rPr>
              <w:t>2</w:t>
            </w:r>
            <w:r w:rsidR="00541962">
              <w:rPr>
                <w:rFonts w:ascii="宋体" w:hAnsi="宋体" w:hint="eastAsia"/>
                <w:b/>
                <w:sz w:val="24"/>
              </w:rPr>
              <w:t>、</w:t>
            </w:r>
            <w:r w:rsidR="00B451AB">
              <w:rPr>
                <w:rFonts w:ascii="宋体" w:hAnsi="宋体" w:hint="eastAsia"/>
                <w:b/>
                <w:sz w:val="24"/>
              </w:rPr>
              <w:t>问</w:t>
            </w:r>
            <w:r w:rsidR="000845E3">
              <w:rPr>
                <w:rFonts w:ascii="宋体" w:hAnsi="宋体" w:hint="eastAsia"/>
                <w:b/>
                <w:sz w:val="24"/>
              </w:rPr>
              <w:t>：2</w:t>
            </w:r>
            <w:r w:rsidR="000845E3">
              <w:rPr>
                <w:rFonts w:ascii="宋体" w:hAnsi="宋体"/>
                <w:b/>
                <w:sz w:val="24"/>
              </w:rPr>
              <w:t>018</w:t>
            </w:r>
            <w:r w:rsidR="000845E3">
              <w:rPr>
                <w:rFonts w:ascii="宋体" w:hAnsi="宋体" w:hint="eastAsia"/>
                <w:b/>
                <w:sz w:val="24"/>
              </w:rPr>
              <w:t>年度公司</w:t>
            </w:r>
            <w:r w:rsidR="000F2A72">
              <w:rPr>
                <w:rFonts w:ascii="宋体" w:hAnsi="宋体" w:hint="eastAsia"/>
                <w:b/>
                <w:sz w:val="24"/>
              </w:rPr>
              <w:t>待</w:t>
            </w:r>
            <w:bookmarkStart w:id="0" w:name="_GoBack"/>
            <w:bookmarkEnd w:id="0"/>
            <w:r w:rsidR="000845E3">
              <w:rPr>
                <w:rFonts w:ascii="宋体" w:hAnsi="宋体" w:hint="eastAsia"/>
                <w:b/>
                <w:sz w:val="24"/>
              </w:rPr>
              <w:t>付股权款不再支付对利润影响解释一下？</w:t>
            </w:r>
          </w:p>
          <w:p w:rsidR="00F3087A" w:rsidRDefault="00A33D2D" w:rsidP="00A33D2D">
            <w:pPr>
              <w:spacing w:line="360" w:lineRule="auto"/>
              <w:ind w:firstLineChars="200" w:firstLine="482"/>
              <w:rPr>
                <w:rFonts w:ascii="宋体" w:hAnsi="宋体"/>
                <w:sz w:val="24"/>
              </w:rPr>
            </w:pPr>
            <w:r w:rsidRPr="00102178">
              <w:rPr>
                <w:rFonts w:ascii="宋体" w:hAnsi="宋体" w:hint="eastAsia"/>
                <w:b/>
                <w:bCs/>
                <w:sz w:val="24"/>
              </w:rPr>
              <w:t>答：</w:t>
            </w:r>
            <w:r w:rsidRPr="00B362E7">
              <w:rPr>
                <w:rFonts w:ascii="宋体" w:hAnsi="宋体" w:hint="eastAsia"/>
                <w:sz w:val="24"/>
              </w:rPr>
              <w:t>为保障上市公司利益，</w:t>
            </w:r>
            <w:r w:rsidR="00A72E44">
              <w:rPr>
                <w:rFonts w:ascii="宋体" w:hAnsi="宋体" w:hint="eastAsia"/>
                <w:sz w:val="24"/>
              </w:rPr>
              <w:t>公司</w:t>
            </w:r>
            <w:r w:rsidRPr="00B362E7">
              <w:rPr>
                <w:rFonts w:ascii="宋体" w:hAnsi="宋体" w:hint="eastAsia"/>
                <w:sz w:val="24"/>
              </w:rPr>
              <w:t>在收购协议中大都均约定了业绩对赌目标、收购对价款支付条件以及调整或解除协议的条款。</w:t>
            </w:r>
            <w:r w:rsidRPr="00545F7E">
              <w:rPr>
                <w:rFonts w:ascii="宋体" w:hAnsi="宋体"/>
                <w:sz w:val="24"/>
              </w:rPr>
              <w:t>公司</w:t>
            </w:r>
            <w:r w:rsidRPr="00545F7E">
              <w:rPr>
                <w:rFonts w:ascii="宋体" w:hAnsi="宋体" w:hint="eastAsia"/>
                <w:sz w:val="24"/>
              </w:rPr>
              <w:t>2</w:t>
            </w:r>
            <w:r w:rsidRPr="00545F7E">
              <w:rPr>
                <w:rFonts w:ascii="宋体" w:hAnsi="宋体"/>
                <w:sz w:val="24"/>
              </w:rPr>
              <w:t>017年度收购的海王（武汉）医药发展有限公司、海王（武汉）医药贸易有限公司、湖北海王凯安晨医药有限公司、</w:t>
            </w:r>
            <w:r>
              <w:rPr>
                <w:rFonts w:ascii="宋体" w:hAnsi="宋体"/>
                <w:sz w:val="24"/>
              </w:rPr>
              <w:t>四川海王金仁医药集团有限公司等公司</w:t>
            </w:r>
            <w:r w:rsidRPr="00545F7E">
              <w:rPr>
                <w:rFonts w:ascii="宋体" w:hAnsi="宋体" w:hint="eastAsia"/>
                <w:sz w:val="24"/>
              </w:rPr>
              <w:t>，收购时双方对市场期望</w:t>
            </w:r>
            <w:r>
              <w:rPr>
                <w:rFonts w:ascii="宋体" w:hAnsi="宋体" w:hint="eastAsia"/>
                <w:sz w:val="24"/>
              </w:rPr>
              <w:t>值</w:t>
            </w:r>
            <w:r w:rsidRPr="00545F7E">
              <w:rPr>
                <w:rFonts w:ascii="宋体" w:hAnsi="宋体" w:hint="eastAsia"/>
                <w:sz w:val="24"/>
              </w:rPr>
              <w:t>较高，</w:t>
            </w:r>
            <w:r>
              <w:rPr>
                <w:rFonts w:ascii="宋体" w:hAnsi="宋体" w:hint="eastAsia"/>
                <w:sz w:val="24"/>
              </w:rPr>
              <w:t>但</w:t>
            </w:r>
            <w:r w:rsidRPr="00545F7E">
              <w:rPr>
                <w:rFonts w:ascii="宋体" w:hAnsi="宋体" w:hint="eastAsia"/>
                <w:sz w:val="24"/>
              </w:rPr>
              <w:t>随环境变化，其销售规模及利润水平</w:t>
            </w:r>
            <w:r>
              <w:rPr>
                <w:rFonts w:ascii="宋体" w:hAnsi="宋体" w:hint="eastAsia"/>
                <w:sz w:val="24"/>
              </w:rPr>
              <w:t>与预期</w:t>
            </w:r>
            <w:r>
              <w:rPr>
                <w:rFonts w:ascii="宋体" w:hAnsi="宋体" w:hint="eastAsia"/>
                <w:sz w:val="24"/>
              </w:rPr>
              <w:lastRenderedPageBreak/>
              <w:t>差距较大</w:t>
            </w:r>
            <w:r w:rsidRPr="00545F7E">
              <w:rPr>
                <w:rFonts w:ascii="宋体" w:hAnsi="宋体" w:hint="eastAsia"/>
                <w:sz w:val="24"/>
              </w:rPr>
              <w:t>。为保障上市公司利益不受损，双方经友好协商，</w:t>
            </w:r>
            <w:r w:rsidRPr="00545F7E">
              <w:rPr>
                <w:rFonts w:ascii="宋体" w:hAnsi="宋体"/>
                <w:sz w:val="24"/>
              </w:rPr>
              <w:t>签订补充协议</w:t>
            </w:r>
            <w:r>
              <w:rPr>
                <w:rFonts w:ascii="宋体" w:hAnsi="宋体" w:hint="eastAsia"/>
                <w:sz w:val="24"/>
              </w:rPr>
              <w:t>降低</w:t>
            </w:r>
            <w:r w:rsidRPr="00545F7E">
              <w:rPr>
                <w:rFonts w:ascii="宋体" w:hAnsi="宋体" w:hint="eastAsia"/>
                <w:sz w:val="24"/>
              </w:rPr>
              <w:t>对赌目标</w:t>
            </w:r>
            <w:r>
              <w:rPr>
                <w:rFonts w:ascii="宋体" w:hAnsi="宋体" w:hint="eastAsia"/>
                <w:sz w:val="24"/>
              </w:rPr>
              <w:t>，同时调减收购对价，或解除合作</w:t>
            </w:r>
            <w:r w:rsidRPr="00545F7E">
              <w:rPr>
                <w:rFonts w:ascii="宋体" w:hAnsi="宋体" w:hint="eastAsia"/>
                <w:sz w:val="24"/>
              </w:rPr>
              <w:t>。按相关会计核算规定，补充协议</w:t>
            </w:r>
            <w:r w:rsidRPr="00545F7E">
              <w:rPr>
                <w:rFonts w:ascii="宋体" w:hAnsi="宋体"/>
                <w:sz w:val="24"/>
              </w:rPr>
              <w:t>调减的收购对价</w:t>
            </w:r>
            <w:r w:rsidRPr="00545F7E">
              <w:rPr>
                <w:rFonts w:ascii="宋体" w:hAnsi="宋体" w:hint="eastAsia"/>
                <w:sz w:val="24"/>
              </w:rPr>
              <w:t>不能减少账面商誉</w:t>
            </w:r>
            <w:r>
              <w:rPr>
                <w:rFonts w:ascii="宋体" w:hAnsi="宋体" w:hint="eastAsia"/>
                <w:sz w:val="24"/>
              </w:rPr>
              <w:t>，</w:t>
            </w:r>
            <w:r w:rsidRPr="00545F7E">
              <w:rPr>
                <w:rFonts w:ascii="宋体" w:hAnsi="宋体" w:hint="eastAsia"/>
                <w:sz w:val="24"/>
              </w:rPr>
              <w:t>而</w:t>
            </w:r>
            <w:r>
              <w:rPr>
                <w:rFonts w:ascii="宋体" w:hAnsi="宋体" w:hint="eastAsia"/>
                <w:sz w:val="24"/>
              </w:rPr>
              <w:t>根据商誉测试评估部分会进行</w:t>
            </w:r>
            <w:r w:rsidRPr="00545F7E">
              <w:rPr>
                <w:rFonts w:ascii="宋体" w:hAnsi="宋体" w:hint="eastAsia"/>
                <w:sz w:val="24"/>
              </w:rPr>
              <w:t>商誉减</w:t>
            </w:r>
            <w:r>
              <w:rPr>
                <w:rFonts w:ascii="宋体" w:hAnsi="宋体" w:hint="eastAsia"/>
                <w:sz w:val="24"/>
              </w:rPr>
              <w:t>值，调减经营性利润，同时调增因减少支付对价而形成的</w:t>
            </w:r>
            <w:r w:rsidRPr="00545F7E">
              <w:rPr>
                <w:rFonts w:ascii="宋体" w:hAnsi="宋体" w:hint="eastAsia"/>
                <w:sz w:val="24"/>
              </w:rPr>
              <w:t>投资收益，</w:t>
            </w:r>
            <w:r>
              <w:rPr>
                <w:rFonts w:ascii="宋体" w:hAnsi="宋体" w:hint="eastAsia"/>
                <w:sz w:val="24"/>
              </w:rPr>
              <w:t>或按协议约定业绩补偿确认营业外收入，</w:t>
            </w:r>
            <w:r w:rsidRPr="00545F7E">
              <w:rPr>
                <w:rFonts w:ascii="宋体" w:hAnsi="宋体" w:hint="eastAsia"/>
                <w:sz w:val="24"/>
              </w:rPr>
              <w:t>即扣减公司经营性净利润同时增加投资收益</w:t>
            </w:r>
            <w:r>
              <w:rPr>
                <w:rFonts w:ascii="宋体" w:hAnsi="宋体" w:hint="eastAsia"/>
                <w:sz w:val="24"/>
              </w:rPr>
              <w:t>或营业外收入</w:t>
            </w:r>
            <w:r w:rsidRPr="00545F7E">
              <w:rPr>
                <w:rFonts w:ascii="宋体" w:hAnsi="宋体" w:hint="eastAsia"/>
                <w:sz w:val="24"/>
              </w:rPr>
              <w:t>，对公司净利润</w:t>
            </w:r>
            <w:r>
              <w:rPr>
                <w:rFonts w:ascii="宋体" w:hAnsi="宋体" w:hint="eastAsia"/>
                <w:sz w:val="24"/>
              </w:rPr>
              <w:t>结构产生比较大的影响，而对净利润总额</w:t>
            </w:r>
            <w:r w:rsidRPr="00545F7E">
              <w:rPr>
                <w:rFonts w:ascii="宋体" w:hAnsi="宋体" w:hint="eastAsia"/>
                <w:sz w:val="24"/>
              </w:rPr>
              <w:t>影响</w:t>
            </w:r>
            <w:r>
              <w:rPr>
                <w:rFonts w:ascii="宋体" w:hAnsi="宋体" w:hint="eastAsia"/>
                <w:sz w:val="24"/>
              </w:rPr>
              <w:t>较小</w:t>
            </w:r>
            <w:r w:rsidRPr="00545F7E">
              <w:rPr>
                <w:rFonts w:ascii="宋体" w:hAnsi="宋体" w:hint="eastAsia"/>
                <w:sz w:val="24"/>
              </w:rPr>
              <w:t>。</w:t>
            </w:r>
          </w:p>
          <w:p w:rsidR="00806B0D" w:rsidRPr="00B7456A" w:rsidRDefault="00A33D2D" w:rsidP="00ED6647">
            <w:pPr>
              <w:spacing w:line="360" w:lineRule="auto"/>
              <w:ind w:firstLineChars="200" w:firstLine="480"/>
              <w:rPr>
                <w:rFonts w:ascii="宋体" w:hAnsi="宋体" w:cs="Arial"/>
                <w:kern w:val="0"/>
                <w:sz w:val="24"/>
                <w:highlight w:val="yellow"/>
              </w:rPr>
            </w:pPr>
            <w:r>
              <w:rPr>
                <w:rFonts w:ascii="宋体" w:hAnsi="宋体" w:hint="eastAsia"/>
                <w:sz w:val="24"/>
              </w:rPr>
              <w:t>公司在</w:t>
            </w:r>
            <w:r w:rsidR="00A72E44">
              <w:rPr>
                <w:rFonts w:ascii="宋体" w:hAnsi="宋体" w:hint="eastAsia"/>
                <w:sz w:val="24"/>
              </w:rPr>
              <w:t>2</w:t>
            </w:r>
            <w:r w:rsidR="00A72E44">
              <w:rPr>
                <w:rFonts w:ascii="宋体" w:hAnsi="宋体"/>
                <w:sz w:val="24"/>
              </w:rPr>
              <w:t>019</w:t>
            </w:r>
            <w:r w:rsidR="00A72E44">
              <w:rPr>
                <w:rFonts w:ascii="宋体" w:hAnsi="宋体" w:hint="eastAsia"/>
                <w:sz w:val="24"/>
              </w:rPr>
              <w:t>年4月2</w:t>
            </w:r>
            <w:r w:rsidR="00A72E44">
              <w:rPr>
                <w:rFonts w:ascii="宋体" w:hAnsi="宋体"/>
                <w:sz w:val="24"/>
              </w:rPr>
              <w:t>7</w:t>
            </w:r>
            <w:r w:rsidR="00A72E44">
              <w:rPr>
                <w:rFonts w:ascii="宋体" w:hAnsi="宋体" w:hint="eastAsia"/>
                <w:sz w:val="24"/>
              </w:rPr>
              <w:t>日对外披露的</w:t>
            </w:r>
            <w:r>
              <w:rPr>
                <w:rFonts w:ascii="宋体" w:hAnsi="宋体" w:hint="eastAsia"/>
                <w:sz w:val="24"/>
              </w:rPr>
              <w:t>《</w:t>
            </w:r>
            <w:r w:rsidRPr="00E44EED">
              <w:rPr>
                <w:rFonts w:ascii="宋体" w:hAnsi="宋体" w:hint="eastAsia"/>
                <w:sz w:val="24"/>
              </w:rPr>
              <w:t>关于计提商誉减值准备及部分待支付股权款转为本年度投资收益及营业外收入的公告</w:t>
            </w:r>
            <w:r>
              <w:rPr>
                <w:rFonts w:ascii="宋体" w:hAnsi="宋体" w:hint="eastAsia"/>
                <w:sz w:val="24"/>
              </w:rPr>
              <w:t>》中均对上述情况及其依据进行了详细列式，这是公司根据会计准则的相关规定确认的结果，既不存在人为调减经营性净利润，也不存在人为调增非经营性净利润的问题。</w:t>
            </w:r>
          </w:p>
        </w:tc>
      </w:tr>
      <w:tr w:rsidR="00AA4D9A" w:rsidRPr="00CC5816" w:rsidTr="00CC5816">
        <w:tc>
          <w:tcPr>
            <w:tcW w:w="1908" w:type="dxa"/>
            <w:tcBorders>
              <w:top w:val="single" w:sz="4" w:space="0" w:color="auto"/>
              <w:left w:val="single" w:sz="4" w:space="0" w:color="auto"/>
              <w:bottom w:val="single" w:sz="4" w:space="0" w:color="auto"/>
              <w:right w:val="single" w:sz="4" w:space="0" w:color="auto"/>
            </w:tcBorders>
            <w:vAlign w:val="center"/>
          </w:tcPr>
          <w:p w:rsidR="00AA4D9A" w:rsidRPr="00CC5816" w:rsidRDefault="00AA4D9A" w:rsidP="00CC5816">
            <w:pPr>
              <w:spacing w:line="480" w:lineRule="atLeast"/>
              <w:rPr>
                <w:rFonts w:ascii="宋体" w:hAnsi="宋体"/>
                <w:bCs/>
                <w:iCs/>
                <w:color w:val="000000"/>
                <w:sz w:val="24"/>
              </w:rPr>
            </w:pPr>
            <w:r w:rsidRPr="00CC5816">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AA4D9A" w:rsidRPr="00CC5816" w:rsidRDefault="00F65B1B" w:rsidP="00CC5816">
            <w:pPr>
              <w:spacing w:line="480" w:lineRule="atLeast"/>
              <w:rPr>
                <w:rFonts w:ascii="宋体" w:hAnsi="宋体"/>
                <w:bCs/>
                <w:iCs/>
                <w:color w:val="000000"/>
                <w:sz w:val="24"/>
              </w:rPr>
            </w:pPr>
            <w:r w:rsidRPr="00CC5816">
              <w:rPr>
                <w:rFonts w:ascii="宋体" w:hAnsi="宋体" w:hint="eastAsia"/>
                <w:bCs/>
                <w:iCs/>
                <w:color w:val="000000"/>
                <w:sz w:val="24"/>
              </w:rPr>
              <w:t>无</w:t>
            </w:r>
          </w:p>
        </w:tc>
      </w:tr>
      <w:tr w:rsidR="00AA4D9A" w:rsidRPr="00CC5816" w:rsidTr="00CC5816">
        <w:tc>
          <w:tcPr>
            <w:tcW w:w="1908" w:type="dxa"/>
            <w:tcBorders>
              <w:top w:val="single" w:sz="4" w:space="0" w:color="auto"/>
              <w:left w:val="single" w:sz="4" w:space="0" w:color="auto"/>
              <w:bottom w:val="single" w:sz="4" w:space="0" w:color="auto"/>
              <w:right w:val="single" w:sz="4" w:space="0" w:color="auto"/>
            </w:tcBorders>
            <w:vAlign w:val="center"/>
          </w:tcPr>
          <w:p w:rsidR="00AA4D9A" w:rsidRPr="00CC5816" w:rsidRDefault="00AA4D9A" w:rsidP="00CC5816">
            <w:pPr>
              <w:spacing w:line="480" w:lineRule="atLeast"/>
              <w:rPr>
                <w:rFonts w:ascii="宋体" w:hAnsi="宋体"/>
                <w:bCs/>
                <w:iCs/>
                <w:color w:val="000000"/>
                <w:sz w:val="24"/>
              </w:rPr>
            </w:pPr>
            <w:r w:rsidRPr="00CC5816">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tcPr>
          <w:p w:rsidR="00AA4D9A" w:rsidRPr="00CC5816" w:rsidRDefault="005F05EF" w:rsidP="00B451AB">
            <w:pPr>
              <w:spacing w:line="480" w:lineRule="atLeast"/>
              <w:rPr>
                <w:rFonts w:ascii="宋体" w:hAnsi="宋体"/>
                <w:bCs/>
                <w:iCs/>
                <w:color w:val="000000"/>
                <w:sz w:val="24"/>
              </w:rPr>
            </w:pPr>
            <w:r w:rsidRPr="00CC5816">
              <w:rPr>
                <w:rFonts w:ascii="宋体" w:hAnsi="宋体" w:hint="eastAsia"/>
                <w:bCs/>
                <w:iCs/>
                <w:color w:val="000000"/>
                <w:sz w:val="24"/>
              </w:rPr>
              <w:t>201</w:t>
            </w:r>
            <w:r w:rsidR="00C36A5A">
              <w:rPr>
                <w:rFonts w:ascii="宋体" w:hAnsi="宋体"/>
                <w:bCs/>
                <w:iCs/>
                <w:color w:val="000000"/>
                <w:sz w:val="24"/>
              </w:rPr>
              <w:t>9</w:t>
            </w:r>
            <w:r w:rsidRPr="00CC5816">
              <w:rPr>
                <w:rFonts w:ascii="宋体" w:hAnsi="宋体" w:hint="eastAsia"/>
                <w:bCs/>
                <w:iCs/>
                <w:color w:val="000000"/>
                <w:sz w:val="24"/>
              </w:rPr>
              <w:t>年</w:t>
            </w:r>
            <w:r w:rsidR="00B451AB">
              <w:rPr>
                <w:rFonts w:ascii="宋体" w:hAnsi="宋体" w:hint="eastAsia"/>
                <w:bCs/>
                <w:iCs/>
                <w:color w:val="000000"/>
                <w:sz w:val="24"/>
              </w:rPr>
              <w:t>6</w:t>
            </w:r>
            <w:r w:rsidRPr="00CC5816">
              <w:rPr>
                <w:rFonts w:ascii="宋体" w:hAnsi="宋体" w:hint="eastAsia"/>
                <w:bCs/>
                <w:iCs/>
                <w:color w:val="000000"/>
                <w:sz w:val="24"/>
              </w:rPr>
              <w:t>月</w:t>
            </w:r>
            <w:r w:rsidR="00B451AB">
              <w:rPr>
                <w:rFonts w:ascii="宋体" w:hAnsi="宋体" w:hint="eastAsia"/>
                <w:bCs/>
                <w:iCs/>
                <w:color w:val="000000"/>
                <w:sz w:val="24"/>
              </w:rPr>
              <w:t>5</w:t>
            </w:r>
            <w:r w:rsidRPr="00CC5816">
              <w:rPr>
                <w:rFonts w:ascii="宋体" w:hAnsi="宋体" w:hint="eastAsia"/>
                <w:bCs/>
                <w:iCs/>
                <w:color w:val="000000"/>
                <w:sz w:val="24"/>
              </w:rPr>
              <w:t>日</w:t>
            </w:r>
          </w:p>
        </w:tc>
      </w:tr>
    </w:tbl>
    <w:p w:rsidR="00B260B8" w:rsidRDefault="00B260B8" w:rsidP="00AA4D9A"/>
    <w:sectPr w:rsidR="00B260B8" w:rsidSect="002F72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BCD" w:rsidRDefault="00B07BCD" w:rsidP="00AF1635">
      <w:r>
        <w:separator/>
      </w:r>
    </w:p>
  </w:endnote>
  <w:endnote w:type="continuationSeparator" w:id="0">
    <w:p w:rsidR="00B07BCD" w:rsidRDefault="00B07BCD" w:rsidP="00AF1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BCD" w:rsidRDefault="00B07BCD" w:rsidP="00AF1635">
      <w:r>
        <w:separator/>
      </w:r>
    </w:p>
  </w:footnote>
  <w:footnote w:type="continuationSeparator" w:id="0">
    <w:p w:rsidR="00B07BCD" w:rsidRDefault="00B07BCD" w:rsidP="00AF1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252CC6A"/>
    <w:multiLevelType w:val="singleLevel"/>
    <w:tmpl w:val="E252CC6A"/>
    <w:lvl w:ilvl="0">
      <w:start w:val="1"/>
      <w:numFmt w:val="decimal"/>
      <w:suff w:val="nothing"/>
      <w:lvlText w:val="%1、"/>
      <w:lvlJc w:val="left"/>
    </w:lvl>
  </w:abstractNum>
  <w:abstractNum w:abstractNumId="1" w15:restartNumberingAfterBreak="0">
    <w:nsid w:val="7234108D"/>
    <w:multiLevelType w:val="hybridMultilevel"/>
    <w:tmpl w:val="2D740EDC"/>
    <w:lvl w:ilvl="0" w:tplc="87B0F69A">
      <w:start w:val="10"/>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A4D9A"/>
    <w:rsid w:val="00007962"/>
    <w:rsid w:val="0001651F"/>
    <w:rsid w:val="00017CCB"/>
    <w:rsid w:val="00022BB0"/>
    <w:rsid w:val="00046584"/>
    <w:rsid w:val="00071CC8"/>
    <w:rsid w:val="000820B7"/>
    <w:rsid w:val="000845E3"/>
    <w:rsid w:val="0009013A"/>
    <w:rsid w:val="00092DA7"/>
    <w:rsid w:val="000971D1"/>
    <w:rsid w:val="000A3052"/>
    <w:rsid w:val="000A49DA"/>
    <w:rsid w:val="000B31BD"/>
    <w:rsid w:val="000B4CB5"/>
    <w:rsid w:val="000D17E0"/>
    <w:rsid w:val="000D1E68"/>
    <w:rsid w:val="000E343C"/>
    <w:rsid w:val="000E67CE"/>
    <w:rsid w:val="000F2A72"/>
    <w:rsid w:val="00102178"/>
    <w:rsid w:val="00111EB7"/>
    <w:rsid w:val="001311B3"/>
    <w:rsid w:val="00131C53"/>
    <w:rsid w:val="00135E5F"/>
    <w:rsid w:val="00136D0F"/>
    <w:rsid w:val="00154528"/>
    <w:rsid w:val="00162149"/>
    <w:rsid w:val="00165216"/>
    <w:rsid w:val="00171C3C"/>
    <w:rsid w:val="00172082"/>
    <w:rsid w:val="0017267C"/>
    <w:rsid w:val="0017308D"/>
    <w:rsid w:val="001825CD"/>
    <w:rsid w:val="001864FD"/>
    <w:rsid w:val="00196689"/>
    <w:rsid w:val="001A3B40"/>
    <w:rsid w:val="001A6D0B"/>
    <w:rsid w:val="001A7F4D"/>
    <w:rsid w:val="001C0BAE"/>
    <w:rsid w:val="001C385F"/>
    <w:rsid w:val="001C5EC0"/>
    <w:rsid w:val="001C746E"/>
    <w:rsid w:val="001F3233"/>
    <w:rsid w:val="002043FD"/>
    <w:rsid w:val="00211617"/>
    <w:rsid w:val="00215DB5"/>
    <w:rsid w:val="002165AD"/>
    <w:rsid w:val="00237ABA"/>
    <w:rsid w:val="002401BF"/>
    <w:rsid w:val="00243CC4"/>
    <w:rsid w:val="00244AB5"/>
    <w:rsid w:val="0024599E"/>
    <w:rsid w:val="00265231"/>
    <w:rsid w:val="00266C8C"/>
    <w:rsid w:val="00267574"/>
    <w:rsid w:val="00274BFF"/>
    <w:rsid w:val="00274C8F"/>
    <w:rsid w:val="0028569B"/>
    <w:rsid w:val="00293E5A"/>
    <w:rsid w:val="0029691B"/>
    <w:rsid w:val="002A13F1"/>
    <w:rsid w:val="002B0820"/>
    <w:rsid w:val="002E2F9C"/>
    <w:rsid w:val="002F4B4D"/>
    <w:rsid w:val="002F5CB8"/>
    <w:rsid w:val="002F6B32"/>
    <w:rsid w:val="002F7243"/>
    <w:rsid w:val="00317D58"/>
    <w:rsid w:val="0032741D"/>
    <w:rsid w:val="00342093"/>
    <w:rsid w:val="00352DE5"/>
    <w:rsid w:val="003534D9"/>
    <w:rsid w:val="00353D5A"/>
    <w:rsid w:val="00354D49"/>
    <w:rsid w:val="00364553"/>
    <w:rsid w:val="00372812"/>
    <w:rsid w:val="00372B3D"/>
    <w:rsid w:val="00377FCD"/>
    <w:rsid w:val="00380D9D"/>
    <w:rsid w:val="003A23FF"/>
    <w:rsid w:val="003A2F01"/>
    <w:rsid w:val="003C4CCB"/>
    <w:rsid w:val="003C66D5"/>
    <w:rsid w:val="003D0B83"/>
    <w:rsid w:val="003E5204"/>
    <w:rsid w:val="003F097C"/>
    <w:rsid w:val="003F2124"/>
    <w:rsid w:val="003F2B66"/>
    <w:rsid w:val="004109D3"/>
    <w:rsid w:val="00413118"/>
    <w:rsid w:val="0041507B"/>
    <w:rsid w:val="004159B9"/>
    <w:rsid w:val="00420050"/>
    <w:rsid w:val="00424806"/>
    <w:rsid w:val="00432DBC"/>
    <w:rsid w:val="00432F1F"/>
    <w:rsid w:val="00462A2E"/>
    <w:rsid w:val="00476FA4"/>
    <w:rsid w:val="004940F0"/>
    <w:rsid w:val="004949C6"/>
    <w:rsid w:val="004967F4"/>
    <w:rsid w:val="00496D9A"/>
    <w:rsid w:val="004A644E"/>
    <w:rsid w:val="004A7F11"/>
    <w:rsid w:val="004B5E1B"/>
    <w:rsid w:val="004D13BB"/>
    <w:rsid w:val="004D2B6F"/>
    <w:rsid w:val="004D61F8"/>
    <w:rsid w:val="004E2502"/>
    <w:rsid w:val="004F5091"/>
    <w:rsid w:val="00505206"/>
    <w:rsid w:val="005116C4"/>
    <w:rsid w:val="00512EE2"/>
    <w:rsid w:val="00515D3E"/>
    <w:rsid w:val="00527498"/>
    <w:rsid w:val="00527BF1"/>
    <w:rsid w:val="00532BAC"/>
    <w:rsid w:val="00535C69"/>
    <w:rsid w:val="00536572"/>
    <w:rsid w:val="005365DA"/>
    <w:rsid w:val="00541962"/>
    <w:rsid w:val="00543FDD"/>
    <w:rsid w:val="00553A99"/>
    <w:rsid w:val="0055458D"/>
    <w:rsid w:val="005828CA"/>
    <w:rsid w:val="00584ABC"/>
    <w:rsid w:val="005C20A1"/>
    <w:rsid w:val="005C5C1C"/>
    <w:rsid w:val="005C6FE4"/>
    <w:rsid w:val="005D2CA0"/>
    <w:rsid w:val="005D3F1E"/>
    <w:rsid w:val="005E07A8"/>
    <w:rsid w:val="005E280B"/>
    <w:rsid w:val="005F05EF"/>
    <w:rsid w:val="005F299F"/>
    <w:rsid w:val="005F6EF2"/>
    <w:rsid w:val="005F7094"/>
    <w:rsid w:val="0060344D"/>
    <w:rsid w:val="00610CF4"/>
    <w:rsid w:val="006143C1"/>
    <w:rsid w:val="00615FE9"/>
    <w:rsid w:val="00617FCB"/>
    <w:rsid w:val="00643818"/>
    <w:rsid w:val="00647D5E"/>
    <w:rsid w:val="0066531D"/>
    <w:rsid w:val="00671192"/>
    <w:rsid w:val="00675154"/>
    <w:rsid w:val="00675A98"/>
    <w:rsid w:val="006875A0"/>
    <w:rsid w:val="006A4A35"/>
    <w:rsid w:val="006A7237"/>
    <w:rsid w:val="006B0159"/>
    <w:rsid w:val="006B1008"/>
    <w:rsid w:val="006B3EC9"/>
    <w:rsid w:val="006C4B60"/>
    <w:rsid w:val="006C6256"/>
    <w:rsid w:val="006D57F1"/>
    <w:rsid w:val="006D59CA"/>
    <w:rsid w:val="006D6923"/>
    <w:rsid w:val="006F3FE9"/>
    <w:rsid w:val="007001BE"/>
    <w:rsid w:val="007038BC"/>
    <w:rsid w:val="00706D5E"/>
    <w:rsid w:val="00715565"/>
    <w:rsid w:val="00721D38"/>
    <w:rsid w:val="007248C3"/>
    <w:rsid w:val="00737FCD"/>
    <w:rsid w:val="0074208B"/>
    <w:rsid w:val="00752350"/>
    <w:rsid w:val="00754E5A"/>
    <w:rsid w:val="0076031A"/>
    <w:rsid w:val="007779ED"/>
    <w:rsid w:val="00784929"/>
    <w:rsid w:val="00784F20"/>
    <w:rsid w:val="007938F4"/>
    <w:rsid w:val="0079534F"/>
    <w:rsid w:val="007975E1"/>
    <w:rsid w:val="007978CF"/>
    <w:rsid w:val="007B1F4C"/>
    <w:rsid w:val="007C1B0F"/>
    <w:rsid w:val="007C7E0C"/>
    <w:rsid w:val="007E6D9E"/>
    <w:rsid w:val="007E7B5A"/>
    <w:rsid w:val="007F5F34"/>
    <w:rsid w:val="0080088E"/>
    <w:rsid w:val="00804D82"/>
    <w:rsid w:val="00806B0D"/>
    <w:rsid w:val="00807266"/>
    <w:rsid w:val="00807991"/>
    <w:rsid w:val="00814F51"/>
    <w:rsid w:val="008213BB"/>
    <w:rsid w:val="00825081"/>
    <w:rsid w:val="00843252"/>
    <w:rsid w:val="00844C45"/>
    <w:rsid w:val="00847175"/>
    <w:rsid w:val="00863F5F"/>
    <w:rsid w:val="00872C99"/>
    <w:rsid w:val="00883A0E"/>
    <w:rsid w:val="00895B31"/>
    <w:rsid w:val="008B1AF9"/>
    <w:rsid w:val="008C482C"/>
    <w:rsid w:val="008C5A79"/>
    <w:rsid w:val="008D3C7D"/>
    <w:rsid w:val="008D6E41"/>
    <w:rsid w:val="008E03AD"/>
    <w:rsid w:val="0091372B"/>
    <w:rsid w:val="009207F7"/>
    <w:rsid w:val="00922814"/>
    <w:rsid w:val="00923F56"/>
    <w:rsid w:val="00953C95"/>
    <w:rsid w:val="0096437F"/>
    <w:rsid w:val="00966A91"/>
    <w:rsid w:val="00974092"/>
    <w:rsid w:val="00974294"/>
    <w:rsid w:val="0097687E"/>
    <w:rsid w:val="00976AED"/>
    <w:rsid w:val="00982DD6"/>
    <w:rsid w:val="009930E0"/>
    <w:rsid w:val="0099401D"/>
    <w:rsid w:val="009A0E5D"/>
    <w:rsid w:val="009C160D"/>
    <w:rsid w:val="009C3987"/>
    <w:rsid w:val="009D2B85"/>
    <w:rsid w:val="009D33FD"/>
    <w:rsid w:val="009E11F4"/>
    <w:rsid w:val="009E592A"/>
    <w:rsid w:val="009F16D9"/>
    <w:rsid w:val="00A014A1"/>
    <w:rsid w:val="00A01A4F"/>
    <w:rsid w:val="00A021CB"/>
    <w:rsid w:val="00A03B40"/>
    <w:rsid w:val="00A04659"/>
    <w:rsid w:val="00A16851"/>
    <w:rsid w:val="00A216C9"/>
    <w:rsid w:val="00A26872"/>
    <w:rsid w:val="00A33D2D"/>
    <w:rsid w:val="00A3656F"/>
    <w:rsid w:val="00A44E0D"/>
    <w:rsid w:val="00A4556C"/>
    <w:rsid w:val="00A52A85"/>
    <w:rsid w:val="00A564C2"/>
    <w:rsid w:val="00A62866"/>
    <w:rsid w:val="00A66BB7"/>
    <w:rsid w:val="00A72E44"/>
    <w:rsid w:val="00A76046"/>
    <w:rsid w:val="00A8202F"/>
    <w:rsid w:val="00A8293A"/>
    <w:rsid w:val="00A867CA"/>
    <w:rsid w:val="00AA0D43"/>
    <w:rsid w:val="00AA0D46"/>
    <w:rsid w:val="00AA4D9A"/>
    <w:rsid w:val="00AD02D8"/>
    <w:rsid w:val="00AD20B8"/>
    <w:rsid w:val="00AD77A6"/>
    <w:rsid w:val="00AE5AFD"/>
    <w:rsid w:val="00AE5F17"/>
    <w:rsid w:val="00AF03D6"/>
    <w:rsid w:val="00AF1635"/>
    <w:rsid w:val="00AF3048"/>
    <w:rsid w:val="00AF3E41"/>
    <w:rsid w:val="00B06071"/>
    <w:rsid w:val="00B07BCD"/>
    <w:rsid w:val="00B12883"/>
    <w:rsid w:val="00B14854"/>
    <w:rsid w:val="00B260B8"/>
    <w:rsid w:val="00B32066"/>
    <w:rsid w:val="00B33E93"/>
    <w:rsid w:val="00B37D95"/>
    <w:rsid w:val="00B43A7A"/>
    <w:rsid w:val="00B451AB"/>
    <w:rsid w:val="00B55DB4"/>
    <w:rsid w:val="00B7456A"/>
    <w:rsid w:val="00B92216"/>
    <w:rsid w:val="00BA4460"/>
    <w:rsid w:val="00BB0494"/>
    <w:rsid w:val="00BB17EC"/>
    <w:rsid w:val="00BB4A49"/>
    <w:rsid w:val="00BC60F8"/>
    <w:rsid w:val="00BD135E"/>
    <w:rsid w:val="00BE3AE0"/>
    <w:rsid w:val="00BE65B7"/>
    <w:rsid w:val="00BF4089"/>
    <w:rsid w:val="00BF671C"/>
    <w:rsid w:val="00C0355E"/>
    <w:rsid w:val="00C0417D"/>
    <w:rsid w:val="00C067E3"/>
    <w:rsid w:val="00C10881"/>
    <w:rsid w:val="00C11308"/>
    <w:rsid w:val="00C36A5A"/>
    <w:rsid w:val="00C42998"/>
    <w:rsid w:val="00C6348A"/>
    <w:rsid w:val="00C76D95"/>
    <w:rsid w:val="00C83114"/>
    <w:rsid w:val="00C846C2"/>
    <w:rsid w:val="00C941EC"/>
    <w:rsid w:val="00CB2180"/>
    <w:rsid w:val="00CB5FFF"/>
    <w:rsid w:val="00CC149F"/>
    <w:rsid w:val="00CC5816"/>
    <w:rsid w:val="00CC6BBC"/>
    <w:rsid w:val="00CD7C50"/>
    <w:rsid w:val="00CF02BE"/>
    <w:rsid w:val="00CF277F"/>
    <w:rsid w:val="00CF639B"/>
    <w:rsid w:val="00D111F6"/>
    <w:rsid w:val="00D14895"/>
    <w:rsid w:val="00D219AC"/>
    <w:rsid w:val="00D263F2"/>
    <w:rsid w:val="00D2657C"/>
    <w:rsid w:val="00D4036A"/>
    <w:rsid w:val="00D44754"/>
    <w:rsid w:val="00D646A3"/>
    <w:rsid w:val="00D75D21"/>
    <w:rsid w:val="00D90181"/>
    <w:rsid w:val="00D9070C"/>
    <w:rsid w:val="00DA0DD8"/>
    <w:rsid w:val="00DA185A"/>
    <w:rsid w:val="00DA2762"/>
    <w:rsid w:val="00DB0E7D"/>
    <w:rsid w:val="00DB44CA"/>
    <w:rsid w:val="00DB685C"/>
    <w:rsid w:val="00DB699F"/>
    <w:rsid w:val="00DD11E5"/>
    <w:rsid w:val="00DD4A61"/>
    <w:rsid w:val="00DD7433"/>
    <w:rsid w:val="00DE0A28"/>
    <w:rsid w:val="00DF316D"/>
    <w:rsid w:val="00E00C64"/>
    <w:rsid w:val="00E05F9D"/>
    <w:rsid w:val="00E07A02"/>
    <w:rsid w:val="00E20071"/>
    <w:rsid w:val="00E21C3E"/>
    <w:rsid w:val="00E275CF"/>
    <w:rsid w:val="00E3427B"/>
    <w:rsid w:val="00E363A0"/>
    <w:rsid w:val="00E37237"/>
    <w:rsid w:val="00E4128B"/>
    <w:rsid w:val="00E41950"/>
    <w:rsid w:val="00E42268"/>
    <w:rsid w:val="00E45BA4"/>
    <w:rsid w:val="00E6685C"/>
    <w:rsid w:val="00E67450"/>
    <w:rsid w:val="00E67967"/>
    <w:rsid w:val="00E71C9A"/>
    <w:rsid w:val="00E81BE1"/>
    <w:rsid w:val="00E81F24"/>
    <w:rsid w:val="00E90AB3"/>
    <w:rsid w:val="00E9228E"/>
    <w:rsid w:val="00EA25DC"/>
    <w:rsid w:val="00EB2FCE"/>
    <w:rsid w:val="00EB4E7F"/>
    <w:rsid w:val="00EC41D4"/>
    <w:rsid w:val="00EC5AAD"/>
    <w:rsid w:val="00ED1C52"/>
    <w:rsid w:val="00ED3E95"/>
    <w:rsid w:val="00ED656A"/>
    <w:rsid w:val="00ED6647"/>
    <w:rsid w:val="00EE0765"/>
    <w:rsid w:val="00EE0B15"/>
    <w:rsid w:val="00EE6823"/>
    <w:rsid w:val="00EE7934"/>
    <w:rsid w:val="00F035AB"/>
    <w:rsid w:val="00F13E52"/>
    <w:rsid w:val="00F3087A"/>
    <w:rsid w:val="00F30E42"/>
    <w:rsid w:val="00F330B7"/>
    <w:rsid w:val="00F65B1B"/>
    <w:rsid w:val="00F66E98"/>
    <w:rsid w:val="00F70B47"/>
    <w:rsid w:val="00F74CE9"/>
    <w:rsid w:val="00F74E0A"/>
    <w:rsid w:val="00F757EE"/>
    <w:rsid w:val="00F948F0"/>
    <w:rsid w:val="00F956A7"/>
    <w:rsid w:val="00FA326F"/>
    <w:rsid w:val="00FA33F3"/>
    <w:rsid w:val="00FA398C"/>
    <w:rsid w:val="00FD337C"/>
    <w:rsid w:val="00FE04AF"/>
    <w:rsid w:val="00FE0A52"/>
    <w:rsid w:val="00FE7DA8"/>
    <w:rsid w:val="00FF1682"/>
    <w:rsid w:val="00FF38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32A7C"/>
  <w15:docId w15:val="{C5443142-B6E2-42DD-B305-5393E5F8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4D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正文文字缩进"/>
    <w:basedOn w:val="a"/>
    <w:rsid w:val="00AA4D9A"/>
    <w:pPr>
      <w:spacing w:after="120"/>
      <w:ind w:leftChars="200" w:left="200"/>
    </w:pPr>
    <w:rPr>
      <w:szCs w:val="20"/>
    </w:rPr>
  </w:style>
  <w:style w:type="table" w:styleId="a4">
    <w:name w:val="Table Grid"/>
    <w:basedOn w:val="a1"/>
    <w:rsid w:val="00AA4D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784F20"/>
    <w:rPr>
      <w:sz w:val="18"/>
      <w:szCs w:val="18"/>
    </w:rPr>
  </w:style>
  <w:style w:type="paragraph" w:styleId="a6">
    <w:name w:val="header"/>
    <w:basedOn w:val="a"/>
    <w:link w:val="a7"/>
    <w:rsid w:val="00AF163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AF1635"/>
    <w:rPr>
      <w:kern w:val="2"/>
      <w:sz w:val="18"/>
      <w:szCs w:val="18"/>
    </w:rPr>
  </w:style>
  <w:style w:type="paragraph" w:styleId="a8">
    <w:name w:val="footer"/>
    <w:basedOn w:val="a"/>
    <w:link w:val="a9"/>
    <w:rsid w:val="00AF1635"/>
    <w:pPr>
      <w:tabs>
        <w:tab w:val="center" w:pos="4153"/>
        <w:tab w:val="right" w:pos="8306"/>
      </w:tabs>
      <w:snapToGrid w:val="0"/>
      <w:jc w:val="left"/>
    </w:pPr>
    <w:rPr>
      <w:sz w:val="18"/>
      <w:szCs w:val="18"/>
    </w:rPr>
  </w:style>
  <w:style w:type="character" w:customStyle="1" w:styleId="a9">
    <w:name w:val="页脚 字符"/>
    <w:basedOn w:val="a0"/>
    <w:link w:val="a8"/>
    <w:rsid w:val="00AF1635"/>
    <w:rPr>
      <w:kern w:val="2"/>
      <w:sz w:val="18"/>
      <w:szCs w:val="18"/>
    </w:rPr>
  </w:style>
  <w:style w:type="character" w:styleId="aa">
    <w:name w:val="annotation reference"/>
    <w:basedOn w:val="a0"/>
    <w:rsid w:val="00DF316D"/>
    <w:rPr>
      <w:sz w:val="21"/>
      <w:szCs w:val="21"/>
    </w:rPr>
  </w:style>
  <w:style w:type="paragraph" w:styleId="ab">
    <w:name w:val="annotation text"/>
    <w:basedOn w:val="a"/>
    <w:link w:val="ac"/>
    <w:rsid w:val="00DF316D"/>
    <w:pPr>
      <w:jc w:val="left"/>
    </w:pPr>
  </w:style>
  <w:style w:type="character" w:customStyle="1" w:styleId="ac">
    <w:name w:val="批注文字 字符"/>
    <w:basedOn w:val="a0"/>
    <w:link w:val="ab"/>
    <w:rsid w:val="00DF316D"/>
    <w:rPr>
      <w:kern w:val="2"/>
      <w:sz w:val="21"/>
      <w:szCs w:val="24"/>
    </w:rPr>
  </w:style>
  <w:style w:type="paragraph" w:styleId="ad">
    <w:name w:val="annotation subject"/>
    <w:basedOn w:val="ab"/>
    <w:next w:val="ab"/>
    <w:link w:val="ae"/>
    <w:rsid w:val="00DF316D"/>
    <w:rPr>
      <w:b/>
      <w:bCs/>
    </w:rPr>
  </w:style>
  <w:style w:type="character" w:customStyle="1" w:styleId="ae">
    <w:name w:val="批注主题 字符"/>
    <w:basedOn w:val="ac"/>
    <w:link w:val="ad"/>
    <w:rsid w:val="00DF316D"/>
    <w:rPr>
      <w:b/>
      <w:bCs/>
      <w:kern w:val="2"/>
      <w:sz w:val="21"/>
      <w:szCs w:val="24"/>
    </w:rPr>
  </w:style>
  <w:style w:type="paragraph" w:customStyle="1" w:styleId="Default">
    <w:name w:val="Default"/>
    <w:rsid w:val="00E67450"/>
    <w:pPr>
      <w:widowControl w:val="0"/>
      <w:autoSpaceDE w:val="0"/>
      <w:autoSpaceDN w:val="0"/>
      <w:adjustRightInd w:val="0"/>
    </w:pPr>
    <w:rPr>
      <w:rFonts w:ascii="宋体" w:cs="宋体"/>
      <w:color w:val="000000"/>
      <w:sz w:val="24"/>
      <w:szCs w:val="24"/>
    </w:rPr>
  </w:style>
  <w:style w:type="paragraph" w:styleId="af">
    <w:name w:val="List Paragraph"/>
    <w:basedOn w:val="a"/>
    <w:uiPriority w:val="34"/>
    <w:qFormat/>
    <w:rsid w:val="00CB5FF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037820">
      <w:bodyDiv w:val="1"/>
      <w:marLeft w:val="0"/>
      <w:marRight w:val="0"/>
      <w:marTop w:val="0"/>
      <w:marBottom w:val="0"/>
      <w:divBdr>
        <w:top w:val="none" w:sz="0" w:space="0" w:color="auto"/>
        <w:left w:val="none" w:sz="0" w:space="0" w:color="auto"/>
        <w:bottom w:val="none" w:sz="0" w:space="0" w:color="auto"/>
        <w:right w:val="none" w:sz="0" w:space="0" w:color="auto"/>
      </w:divBdr>
      <w:divsChild>
        <w:div w:id="657534074">
          <w:marLeft w:val="0"/>
          <w:marRight w:val="0"/>
          <w:marTop w:val="0"/>
          <w:marBottom w:val="0"/>
          <w:divBdr>
            <w:top w:val="none" w:sz="0" w:space="0" w:color="auto"/>
            <w:left w:val="none" w:sz="0" w:space="0" w:color="auto"/>
            <w:bottom w:val="none" w:sz="0" w:space="0" w:color="auto"/>
            <w:right w:val="none" w:sz="0" w:space="0" w:color="auto"/>
          </w:divBdr>
          <w:divsChild>
            <w:div w:id="1560941060">
              <w:marLeft w:val="0"/>
              <w:marRight w:val="0"/>
              <w:marTop w:val="0"/>
              <w:marBottom w:val="0"/>
              <w:divBdr>
                <w:top w:val="none" w:sz="0" w:space="0" w:color="auto"/>
                <w:left w:val="none" w:sz="0" w:space="0" w:color="auto"/>
                <w:bottom w:val="none" w:sz="0" w:space="0" w:color="auto"/>
                <w:right w:val="none" w:sz="0" w:space="0" w:color="auto"/>
              </w:divBdr>
              <w:divsChild>
                <w:div w:id="355884408">
                  <w:marLeft w:val="0"/>
                  <w:marRight w:val="0"/>
                  <w:marTop w:val="0"/>
                  <w:marBottom w:val="0"/>
                  <w:divBdr>
                    <w:top w:val="none" w:sz="0" w:space="0" w:color="auto"/>
                    <w:left w:val="none" w:sz="0" w:space="0" w:color="auto"/>
                    <w:bottom w:val="none" w:sz="0" w:space="0" w:color="auto"/>
                    <w:right w:val="none" w:sz="0" w:space="0" w:color="auto"/>
                  </w:divBdr>
                  <w:divsChild>
                    <w:div w:id="224293496">
                      <w:marLeft w:val="0"/>
                      <w:marRight w:val="0"/>
                      <w:marTop w:val="0"/>
                      <w:marBottom w:val="0"/>
                      <w:divBdr>
                        <w:top w:val="none" w:sz="0" w:space="0" w:color="auto"/>
                        <w:left w:val="none" w:sz="0" w:space="0" w:color="auto"/>
                        <w:bottom w:val="none" w:sz="0" w:space="0" w:color="auto"/>
                        <w:right w:val="none" w:sz="0" w:space="0" w:color="auto"/>
                      </w:divBdr>
                      <w:divsChild>
                        <w:div w:id="1604722410">
                          <w:marLeft w:val="0"/>
                          <w:marRight w:val="0"/>
                          <w:marTop w:val="0"/>
                          <w:marBottom w:val="0"/>
                          <w:divBdr>
                            <w:top w:val="none" w:sz="0" w:space="0" w:color="auto"/>
                            <w:left w:val="none" w:sz="0" w:space="0" w:color="auto"/>
                            <w:bottom w:val="none" w:sz="0" w:space="0" w:color="auto"/>
                            <w:right w:val="none" w:sz="0" w:space="0" w:color="auto"/>
                          </w:divBdr>
                          <w:divsChild>
                            <w:div w:id="89400368">
                              <w:marLeft w:val="0"/>
                              <w:marRight w:val="0"/>
                              <w:marTop w:val="0"/>
                              <w:marBottom w:val="0"/>
                              <w:divBdr>
                                <w:top w:val="none" w:sz="0" w:space="0" w:color="auto"/>
                                <w:left w:val="none" w:sz="0" w:space="0" w:color="auto"/>
                                <w:bottom w:val="none" w:sz="0" w:space="0" w:color="auto"/>
                                <w:right w:val="none" w:sz="0" w:space="0" w:color="auto"/>
                              </w:divBdr>
                              <w:divsChild>
                                <w:div w:id="630718971">
                                  <w:marLeft w:val="0"/>
                                  <w:marRight w:val="0"/>
                                  <w:marTop w:val="0"/>
                                  <w:marBottom w:val="0"/>
                                  <w:divBdr>
                                    <w:top w:val="none" w:sz="0" w:space="0" w:color="auto"/>
                                    <w:left w:val="none" w:sz="0" w:space="0" w:color="auto"/>
                                    <w:bottom w:val="none" w:sz="0" w:space="0" w:color="auto"/>
                                    <w:right w:val="none" w:sz="0" w:space="0" w:color="auto"/>
                                  </w:divBdr>
                                  <w:divsChild>
                                    <w:div w:id="778794520">
                                      <w:marLeft w:val="0"/>
                                      <w:marRight w:val="0"/>
                                      <w:marTop w:val="0"/>
                                      <w:marBottom w:val="0"/>
                                      <w:divBdr>
                                        <w:top w:val="none" w:sz="0" w:space="0" w:color="auto"/>
                                        <w:left w:val="none" w:sz="0" w:space="0" w:color="auto"/>
                                        <w:bottom w:val="none" w:sz="0" w:space="0" w:color="auto"/>
                                        <w:right w:val="none" w:sz="0" w:space="0" w:color="auto"/>
                                      </w:divBdr>
                                      <w:divsChild>
                                        <w:div w:id="1322005128">
                                          <w:marLeft w:val="0"/>
                                          <w:marRight w:val="0"/>
                                          <w:marTop w:val="0"/>
                                          <w:marBottom w:val="0"/>
                                          <w:divBdr>
                                            <w:top w:val="none" w:sz="0" w:space="0" w:color="auto"/>
                                            <w:left w:val="none" w:sz="0" w:space="0" w:color="auto"/>
                                            <w:bottom w:val="none" w:sz="0" w:space="0" w:color="auto"/>
                                            <w:right w:val="none" w:sz="0" w:space="0" w:color="auto"/>
                                          </w:divBdr>
                                          <w:divsChild>
                                            <w:div w:id="248778521">
                                              <w:marLeft w:val="0"/>
                                              <w:marRight w:val="0"/>
                                              <w:marTop w:val="0"/>
                                              <w:marBottom w:val="0"/>
                                              <w:divBdr>
                                                <w:top w:val="none" w:sz="0" w:space="0" w:color="auto"/>
                                                <w:left w:val="none" w:sz="0" w:space="0" w:color="auto"/>
                                                <w:bottom w:val="none" w:sz="0" w:space="0" w:color="auto"/>
                                                <w:right w:val="none" w:sz="0" w:space="0" w:color="auto"/>
                                              </w:divBdr>
                                              <w:divsChild>
                                                <w:div w:id="1931960224">
                                                  <w:marLeft w:val="0"/>
                                                  <w:marRight w:val="0"/>
                                                  <w:marTop w:val="0"/>
                                                  <w:marBottom w:val="0"/>
                                                  <w:divBdr>
                                                    <w:top w:val="none" w:sz="0" w:space="0" w:color="auto"/>
                                                    <w:left w:val="none" w:sz="0" w:space="0" w:color="auto"/>
                                                    <w:bottom w:val="none" w:sz="0" w:space="0" w:color="auto"/>
                                                    <w:right w:val="none" w:sz="0" w:space="0" w:color="auto"/>
                                                  </w:divBdr>
                                                  <w:divsChild>
                                                    <w:div w:id="11768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4</Pages>
  <Words>361</Words>
  <Characters>2061</Characters>
  <Application>Microsoft Office Word</Application>
  <DocSecurity>0</DocSecurity>
  <Lines>17</Lines>
  <Paragraphs>4</Paragraphs>
  <ScaleCrop>false</ScaleCrop>
  <Company>微软中国</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  诺  书</dc:title>
  <dc:creator>王云雷</dc:creator>
  <cp:lastModifiedBy>德胜 谢</cp:lastModifiedBy>
  <cp:revision>46</cp:revision>
  <cp:lastPrinted>2019-06-06T04:44:00Z</cp:lastPrinted>
  <dcterms:created xsi:type="dcterms:W3CDTF">2018-06-15T07:23:00Z</dcterms:created>
  <dcterms:modified xsi:type="dcterms:W3CDTF">2019-06-06T09:46:00Z</dcterms:modified>
</cp:coreProperties>
</file>