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C1" w:rsidRDefault="002F51C1">
      <w:pPr>
        <w:spacing w:beforeLines="50" w:before="156" w:afterLines="50" w:after="156"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证券代码：000603</w:t>
      </w:r>
      <w:r>
        <w:rPr>
          <w:rFonts w:ascii="宋体" w:hAnsi="宋体"/>
          <w:bCs/>
          <w:iCs/>
          <w:color w:val="000000"/>
          <w:sz w:val="24"/>
        </w:rPr>
        <w:t xml:space="preserve">  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证券简称：盛达矿业</w:t>
      </w:r>
    </w:p>
    <w:p w:rsidR="002F51C1" w:rsidRDefault="002F51C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11"/>
          <w:szCs w:val="11"/>
        </w:rPr>
      </w:pPr>
    </w:p>
    <w:p w:rsidR="002F51C1" w:rsidRDefault="002F51C1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盛达矿业股份有限公司投资者关系活动记录表</w:t>
      </w:r>
    </w:p>
    <w:p w:rsidR="002F51C1" w:rsidRDefault="002F51C1">
      <w:pPr>
        <w:spacing w:line="400" w:lineRule="exact"/>
        <w:rPr>
          <w:rFonts w:ascii="宋体" w:hAnsi="宋体"/>
          <w:bCs/>
          <w:iCs/>
          <w:color w:val="000000"/>
          <w:szCs w:val="21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                                                </w:t>
      </w:r>
    </w:p>
    <w:p w:rsidR="002F51C1" w:rsidRDefault="002F51C1">
      <w:pPr>
        <w:spacing w:line="400" w:lineRule="exact"/>
        <w:ind w:firstLineChars="2800" w:firstLine="6720"/>
        <w:rPr>
          <w:rFonts w:asci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713154">
        <w:rPr>
          <w:rFonts w:ascii="宋体" w:hAnsi="宋体" w:hint="eastAsia"/>
          <w:bCs/>
          <w:iCs/>
          <w:color w:val="000000"/>
          <w:sz w:val="24"/>
        </w:rPr>
        <w:t>201</w:t>
      </w:r>
      <w:r w:rsidR="00D06233">
        <w:rPr>
          <w:rFonts w:ascii="宋体" w:hAnsi="宋体"/>
          <w:bCs/>
          <w:iCs/>
          <w:color w:val="000000"/>
          <w:sz w:val="24"/>
        </w:rPr>
        <w:t>9</w:t>
      </w:r>
      <w:r w:rsidR="00097226">
        <w:rPr>
          <w:rFonts w:ascii="宋体" w:hAnsi="宋体"/>
          <w:bCs/>
          <w:iCs/>
          <w:color w:val="000000"/>
          <w:sz w:val="24"/>
        </w:rPr>
        <w:t>0610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713"/>
      </w:tblGrid>
      <w:tr w:rsidR="002F51C1">
        <w:tc>
          <w:tcPr>
            <w:tcW w:w="1809" w:type="dxa"/>
            <w:vAlign w:val="center"/>
          </w:tcPr>
          <w:p w:rsidR="002F51C1" w:rsidRDefault="002F51C1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713" w:type="dxa"/>
          </w:tcPr>
          <w:p w:rsidR="002F51C1" w:rsidRDefault="00097226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 w:rsidRPr="00097226">
              <w:rPr>
                <w:rFonts w:ascii="宋体" w:hint="eastAsia"/>
                <w:sz w:val="24"/>
              </w:rPr>
              <w:sym w:font="Wingdings 2" w:char="F052"/>
            </w:r>
            <w:r w:rsidR="002F51C1">
              <w:rPr>
                <w:rFonts w:ascii="宋体" w:hAnsi="宋体" w:hint="eastAsia"/>
                <w:kern w:val="0"/>
                <w:sz w:val="28"/>
                <w:szCs w:val="28"/>
              </w:rPr>
              <w:t>特定对象调研</w:t>
            </w:r>
            <w:r w:rsidR="002F51C1">
              <w:rPr>
                <w:rFonts w:ascii="宋体" w:hAnsi="宋体"/>
                <w:kern w:val="0"/>
                <w:sz w:val="28"/>
                <w:szCs w:val="28"/>
              </w:rPr>
              <w:t xml:space="preserve">        </w:t>
            </w:r>
            <w:r w:rsidR="002F51C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2F51C1">
              <w:rPr>
                <w:rFonts w:ascii="宋体" w:hAnsi="宋体" w:hint="eastAsia"/>
                <w:kern w:val="0"/>
                <w:sz w:val="28"/>
                <w:szCs w:val="28"/>
              </w:rPr>
              <w:t>分析师会议</w:t>
            </w:r>
          </w:p>
          <w:p w:rsidR="002F51C1" w:rsidRDefault="002F51C1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媒体采访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业绩说明会</w:t>
            </w:r>
          </w:p>
          <w:p w:rsidR="002F51C1" w:rsidRDefault="002F51C1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新闻发布会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路演活动</w:t>
            </w:r>
          </w:p>
          <w:p w:rsidR="002F51C1" w:rsidRDefault="002F51C1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现场参观</w:t>
            </w:r>
            <w:r>
              <w:rPr>
                <w:rFonts w:ascii="宋体"/>
                <w:bCs/>
                <w:iCs/>
                <w:color w:val="000000"/>
                <w:kern w:val="0"/>
                <w:sz w:val="24"/>
              </w:rPr>
              <w:tab/>
            </w:r>
          </w:p>
          <w:p w:rsidR="002F51C1" w:rsidRDefault="002F51C1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其他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2F51C1">
        <w:tc>
          <w:tcPr>
            <w:tcW w:w="1809" w:type="dxa"/>
            <w:vAlign w:val="center"/>
          </w:tcPr>
          <w:p w:rsidR="002F51C1" w:rsidRDefault="002F51C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参与单位名称</w:t>
            </w:r>
          </w:p>
          <w:p w:rsidR="002F51C1" w:rsidRDefault="002F51C1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及人员姓名</w:t>
            </w:r>
          </w:p>
        </w:tc>
        <w:tc>
          <w:tcPr>
            <w:tcW w:w="6713" w:type="dxa"/>
          </w:tcPr>
          <w:p w:rsidR="00055219" w:rsidRDefault="00F13051" w:rsidP="00445726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财通</w:t>
            </w:r>
            <w:r w:rsidR="00055219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 xml:space="preserve">证券 </w:t>
            </w: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李帅华、王浩、秦占军、纪文凯</w:t>
            </w:r>
          </w:p>
          <w:p w:rsidR="00445726" w:rsidRDefault="00F13051" w:rsidP="00445726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申万宏源</w:t>
            </w:r>
            <w:r w:rsidR="00445726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 xml:space="preserve">证券 </w:t>
            </w: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张浩、刘飞</w:t>
            </w:r>
          </w:p>
          <w:p w:rsidR="008B7919" w:rsidRDefault="00F13051" w:rsidP="00445726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东兴证券</w:t>
            </w:r>
            <w:r w:rsidR="008B7919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张敏</w:t>
            </w:r>
          </w:p>
          <w:p w:rsidR="00445726" w:rsidRDefault="006C3692" w:rsidP="00445726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永安期货</w:t>
            </w:r>
            <w:r w:rsidR="00445726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龙科明、刘航星</w:t>
            </w:r>
          </w:p>
          <w:p w:rsidR="001A3487" w:rsidRDefault="006C3692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黄河财险</w:t>
            </w:r>
            <w:r w:rsidR="00A01C4F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乔世俊</w:t>
            </w:r>
          </w:p>
        </w:tc>
      </w:tr>
      <w:tr w:rsidR="002F51C1">
        <w:tc>
          <w:tcPr>
            <w:tcW w:w="1809" w:type="dxa"/>
            <w:vAlign w:val="center"/>
          </w:tcPr>
          <w:p w:rsidR="002F51C1" w:rsidRDefault="002F51C1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713" w:type="dxa"/>
          </w:tcPr>
          <w:p w:rsidR="002F51C1" w:rsidRDefault="00713154" w:rsidP="0041351A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201</w:t>
            </w:r>
            <w:r w:rsidR="00657B76">
              <w:rPr>
                <w:rFonts w:ascii="宋体"/>
                <w:bCs/>
                <w:iCs/>
                <w:color w:val="000000"/>
                <w:kern w:val="0"/>
                <w:sz w:val="24"/>
              </w:rPr>
              <w:t>9</w:t>
            </w:r>
            <w:r w:rsidR="002F51C1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657B76">
              <w:rPr>
                <w:rFonts w:ascii="宋体"/>
                <w:bCs/>
                <w:iCs/>
                <w:color w:val="000000"/>
                <w:kern w:val="0"/>
                <w:sz w:val="24"/>
              </w:rPr>
              <w:t>6</w:t>
            </w:r>
            <w:r w:rsidR="002F51C1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6B7FE4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1</w:t>
            </w:r>
            <w:r w:rsidR="00657B76">
              <w:rPr>
                <w:rFonts w:ascii="宋体"/>
                <w:bCs/>
                <w:iCs/>
                <w:color w:val="000000"/>
                <w:kern w:val="0"/>
                <w:sz w:val="24"/>
              </w:rPr>
              <w:t>0</w:t>
            </w:r>
            <w:r w:rsidR="002F51C1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  <w:tr w:rsidR="002F51C1">
        <w:tc>
          <w:tcPr>
            <w:tcW w:w="1809" w:type="dxa"/>
            <w:vAlign w:val="center"/>
          </w:tcPr>
          <w:p w:rsidR="002F51C1" w:rsidRDefault="002F51C1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713" w:type="dxa"/>
          </w:tcPr>
          <w:p w:rsidR="002F51C1" w:rsidRDefault="00097A05" w:rsidP="001D3373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北京</w:t>
            </w:r>
            <w:r w:rsidR="00396F2B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市</w:t>
            </w: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丰台区</w:t>
            </w:r>
            <w:r w:rsidR="00396F2B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南方庄158号</w:t>
            </w: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盛达大厦</w:t>
            </w:r>
            <w:r w:rsidR="001D3373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2</w:t>
            </w:r>
            <w:r w:rsidR="002F51C1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楼会议室</w:t>
            </w:r>
          </w:p>
        </w:tc>
      </w:tr>
      <w:tr w:rsidR="002F51C1">
        <w:tc>
          <w:tcPr>
            <w:tcW w:w="1809" w:type="dxa"/>
            <w:vAlign w:val="center"/>
          </w:tcPr>
          <w:p w:rsidR="002F51C1" w:rsidRDefault="002F51C1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713" w:type="dxa"/>
            <w:vAlign w:val="center"/>
          </w:tcPr>
          <w:p w:rsidR="002F51C1" w:rsidRDefault="00D375AC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副总裁兼</w:t>
            </w:r>
            <w:r w:rsidR="001F008A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董事会秘书</w:t>
            </w:r>
            <w:r w:rsidR="00432830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1F008A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张开彦</w:t>
            </w:r>
            <w:r w:rsidR="001939CE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 xml:space="preserve">  </w:t>
            </w:r>
          </w:p>
          <w:p w:rsidR="002F51C1" w:rsidRPr="001939CE" w:rsidRDefault="001939CE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证券事务代表 段文新</w:t>
            </w:r>
          </w:p>
        </w:tc>
      </w:tr>
      <w:tr w:rsidR="002F51C1">
        <w:tc>
          <w:tcPr>
            <w:tcW w:w="1809" w:type="dxa"/>
            <w:vAlign w:val="center"/>
          </w:tcPr>
          <w:p w:rsidR="002F51C1" w:rsidRDefault="002F51C1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713" w:type="dxa"/>
          </w:tcPr>
          <w:p w:rsidR="000B0B38" w:rsidRDefault="000B0B38">
            <w:pPr>
              <w:spacing w:line="480" w:lineRule="atLeast"/>
              <w:ind w:firstLineChars="200" w:firstLine="482"/>
              <w:rPr>
                <w:rFonts w:asci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一、</w:t>
            </w:r>
            <w:r w:rsidR="00614F68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公司</w:t>
            </w:r>
            <w:r w:rsidR="00614F68" w:rsidRPr="00614F68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副总裁兼</w:t>
            </w:r>
            <w:r w:rsidR="00FB0430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董秘</w:t>
            </w:r>
            <w:r w:rsidR="00610710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张开彦</w:t>
            </w:r>
            <w:r w:rsidR="008D3560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向调研的投资者</w:t>
            </w:r>
            <w:r w:rsidR="00614F68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介绍了公司的经营</w:t>
            </w:r>
            <w:r w:rsidR="009D2335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情况</w:t>
            </w:r>
            <w:r w:rsidR="00614F68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和未来发展规划。</w:t>
            </w:r>
          </w:p>
          <w:p w:rsidR="002F51C1" w:rsidRDefault="00BA712A">
            <w:pPr>
              <w:spacing w:line="480" w:lineRule="atLeast"/>
              <w:ind w:firstLineChars="200" w:firstLine="482"/>
              <w:rPr>
                <w:rFonts w:ascii="宋体"/>
                <w:b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二、</w:t>
            </w:r>
            <w:r w:rsidR="009D2335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问答交流环节</w:t>
            </w:r>
            <w:r w:rsidR="002F51C1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：</w:t>
            </w:r>
          </w:p>
          <w:p w:rsidR="002F51C1" w:rsidRDefault="002F51C1">
            <w:pPr>
              <w:tabs>
                <w:tab w:val="left" w:pos="0"/>
              </w:tabs>
              <w:ind w:firstLineChars="200" w:firstLine="480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</w:p>
          <w:p w:rsidR="00A665F2" w:rsidRDefault="00A665F2" w:rsidP="00A665F2">
            <w:pPr>
              <w:tabs>
                <w:tab w:val="left" w:pos="0"/>
              </w:tabs>
              <w:ind w:firstLineChars="200" w:firstLine="482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问：</w:t>
            </w:r>
            <w:r w:rsidR="00F00078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公司未来在主业并购及产业链延伸方面是如何考虑的</w:t>
            </w:r>
            <w:r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？</w:t>
            </w:r>
            <w:r w:rsidR="00F00078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有没有具体的战略规划？</w:t>
            </w:r>
          </w:p>
          <w:p w:rsidR="00DE421B" w:rsidRPr="00DE421B" w:rsidRDefault="00A665F2" w:rsidP="00DE421B">
            <w:pPr>
              <w:tabs>
                <w:tab w:val="left" w:pos="0"/>
              </w:tabs>
              <w:ind w:firstLineChars="200" w:firstLine="480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答</w:t>
            </w:r>
            <w:r w:rsidRPr="00467592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="00DE421B" w:rsidRPr="00DE421B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 xml:space="preserve">未来几年，公司将积极推进实施“原生矿产资源+城市矿山资源”的发展战略，将公司打造成有影响力的金属资源提供商，实现“资源，让生活更美好”的愿景。 </w:t>
            </w:r>
          </w:p>
          <w:p w:rsidR="00DE421B" w:rsidRPr="00DE421B" w:rsidRDefault="00DE421B" w:rsidP="00DE421B">
            <w:pPr>
              <w:tabs>
                <w:tab w:val="left" w:pos="0"/>
              </w:tabs>
              <w:ind w:firstLineChars="200" w:firstLine="480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 w:rsidRPr="00DE421B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公司将合理利用资金、技术管理等优势，加大矿产资源获</w:t>
            </w:r>
            <w:r w:rsidRPr="00DE421B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lastRenderedPageBreak/>
              <w:t xml:space="preserve">取力度，进一步扩大资源储量，着重关注贵金属以及下游产业发展迅速的有色金属品种（如镍、钴、锰、锂等电池材料相关资源），强化稀贵金属矿业企业的属性。 </w:t>
            </w:r>
          </w:p>
          <w:p w:rsidR="00DE421B" w:rsidRPr="00DE421B" w:rsidRDefault="00DE421B" w:rsidP="00DE421B">
            <w:pPr>
              <w:tabs>
                <w:tab w:val="left" w:pos="0"/>
              </w:tabs>
              <w:ind w:firstLineChars="200" w:firstLine="480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 w:rsidRPr="00DE421B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公司借助在金属采选累积的多年经验，计划进入金属资源回收行业，即从金属资源勘探、采选，延伸至金属资源的回收再利用。公司看好新能源产业的长期发展，重点关注镍、钴、锂等金属资源的回收利用。通过资源回收利用及矿种资源（镍钴锂等）拓展，形成完整产业链，并强化技术投入，建立技术壁垒，成为国内主流的金属资源循环利用服务商。公司也将由单纯的矿山采选业务，升级为集矿山开发、固废、危废处理、资源回收利用等环保、循环经济业务为一体的资源企业。</w:t>
            </w:r>
          </w:p>
          <w:p w:rsidR="00037AB1" w:rsidRPr="00445726" w:rsidRDefault="00DE421B" w:rsidP="00DE421B">
            <w:pPr>
              <w:tabs>
                <w:tab w:val="left" w:pos="0"/>
              </w:tabs>
              <w:ind w:firstLineChars="200" w:firstLine="480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 w:rsidRPr="00DE421B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公司将在金属资源的基础上，延伸金属材料产业链，逐步向技术密集、高附加值的功能金属、金属靶材等材料领域发展，重点方向为半导体材料、显示材料、电子产品材料等领域，使公司进入高技术、高端制造企业行列，实现资源的价值最大化。</w:t>
            </w:r>
          </w:p>
          <w:p w:rsidR="002F51C1" w:rsidRDefault="00014EF1">
            <w:pPr>
              <w:tabs>
                <w:tab w:val="left" w:pos="0"/>
              </w:tabs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 xml:space="preserve">    </w:t>
            </w:r>
          </w:p>
          <w:p w:rsidR="002F51C1" w:rsidRDefault="00F17CD5">
            <w:pPr>
              <w:tabs>
                <w:tab w:val="left" w:pos="0"/>
              </w:tabs>
              <w:ind w:firstLineChars="200" w:firstLine="482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问：</w:t>
            </w:r>
            <w:r w:rsidR="00B52E82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公司控股子公司银都矿业于2017年收购的东晟矿业相关工作进展如何</w:t>
            </w:r>
            <w:r w:rsidR="0017164B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？</w:t>
            </w:r>
          </w:p>
          <w:p w:rsidR="00115ED6" w:rsidRDefault="00AD0069" w:rsidP="00DF37CD">
            <w:pPr>
              <w:tabs>
                <w:tab w:val="left" w:pos="0"/>
              </w:tabs>
              <w:ind w:firstLineChars="200" w:firstLine="480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答</w:t>
            </w:r>
            <w:r w:rsidR="002F51C1" w:rsidRPr="00467592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="00B52E82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银都矿业</w:t>
            </w:r>
            <w:r w:rsidR="00B52E82" w:rsidRPr="00B52E82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收购的东晟矿业巴彦乌拉矿区累计探明银金属量超过556吨，目前</w:t>
            </w:r>
            <w:r w:rsidR="008D34CB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探矿工作基本完成，</w:t>
            </w:r>
            <w:r w:rsidR="00B52E82" w:rsidRPr="00B52E82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正在办理</w:t>
            </w:r>
            <w:r w:rsidR="00A260F5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探转采相关</w:t>
            </w:r>
            <w:r w:rsidR="0051227A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手续。</w:t>
            </w:r>
            <w:r w:rsidR="008D34CB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未来</w:t>
            </w:r>
            <w:r w:rsidR="0051227A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东晟矿业</w:t>
            </w:r>
            <w:r w:rsidR="00B52E82" w:rsidRPr="00B52E82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作为银都矿业的分采区，将极大提升供矿能力，对提升银都矿业的盈利能力发挥积极作用。</w:t>
            </w:r>
          </w:p>
          <w:p w:rsidR="00DE421B" w:rsidRDefault="00DE421B" w:rsidP="00DF37CD">
            <w:pPr>
              <w:tabs>
                <w:tab w:val="left" w:pos="0"/>
              </w:tabs>
              <w:ind w:firstLineChars="200" w:firstLine="480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</w:p>
          <w:p w:rsidR="00DE421B" w:rsidRDefault="00DE421B" w:rsidP="00DE421B">
            <w:pPr>
              <w:tabs>
                <w:tab w:val="left" w:pos="0"/>
              </w:tabs>
              <w:ind w:firstLineChars="200" w:firstLine="482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问：</w:t>
            </w:r>
            <w:r w:rsidR="00E567ED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公司</w:t>
            </w:r>
            <w:r w:rsidR="00610329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目前主要产品是什么？公司</w:t>
            </w:r>
            <w:r w:rsidR="00E567ED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利润来源中白银</w:t>
            </w:r>
            <w:r w:rsidR="000232CE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占多少</w:t>
            </w:r>
            <w:r w:rsidR="00E567ED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比重</w:t>
            </w:r>
            <w:r w:rsidRPr="002314AB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？</w:t>
            </w:r>
            <w:r w:rsidR="00A53246" w:rsidRPr="002314AB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白银价格上涨对公司</w:t>
            </w:r>
            <w:r w:rsidR="00E567ED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业绩</w:t>
            </w:r>
            <w:r w:rsidR="00A53246" w:rsidRPr="002314AB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的影响</w:t>
            </w:r>
            <w:r w:rsidR="00E567ED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有多大</w:t>
            </w:r>
            <w:r w:rsidR="00A53246" w:rsidRPr="002314AB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？</w:t>
            </w:r>
          </w:p>
          <w:p w:rsidR="00DE421B" w:rsidRDefault="00DE421B" w:rsidP="00DE421B">
            <w:pPr>
              <w:tabs>
                <w:tab w:val="left" w:pos="0"/>
              </w:tabs>
              <w:ind w:firstLineChars="200" w:firstLine="480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答</w:t>
            </w:r>
            <w:r w:rsidRPr="00467592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="00610329" w:rsidRPr="00610329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公司主要产品为银锭（国标1#、2#</w:t>
            </w:r>
            <w:r w:rsidR="00610329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）、可回收伴生金以及含银铅精粉（银单独计价）、锌精粉，</w:t>
            </w:r>
            <w:r w:rsidR="00610329" w:rsidRPr="00610329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其中银对公司业绩的贡献</w:t>
            </w:r>
            <w:r w:rsidR="00A803F8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大约在</w:t>
            </w:r>
            <w:r w:rsidR="00610329" w:rsidRPr="00610329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50%</w:t>
            </w:r>
            <w:r w:rsidR="00A803F8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左右</w:t>
            </w:r>
            <w:r w:rsidR="00610329" w:rsidRPr="00610329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，对公司发展至关重要。</w:t>
            </w:r>
            <w:r w:rsidR="00610329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2</w:t>
            </w:r>
            <w:r w:rsidR="00610329">
              <w:rPr>
                <w:rFonts w:ascii="宋体"/>
                <w:bCs/>
                <w:iCs/>
                <w:color w:val="000000"/>
                <w:kern w:val="0"/>
                <w:sz w:val="24"/>
              </w:rPr>
              <w:t>018</w:t>
            </w:r>
            <w:r w:rsidR="00610329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年收购金山矿业后，公司银资源储量（金属量）已超过8200吨，</w:t>
            </w:r>
            <w:r w:rsidR="004415E3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白银</w:t>
            </w:r>
            <w:r w:rsidR="004C66DB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价格</w:t>
            </w:r>
            <w:r w:rsidR="00610329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上涨无疑将利好公司业绩。</w:t>
            </w:r>
          </w:p>
          <w:p w:rsidR="00DE49D0" w:rsidRDefault="00DE49D0" w:rsidP="00DF37CD">
            <w:pPr>
              <w:tabs>
                <w:tab w:val="left" w:pos="0"/>
              </w:tabs>
              <w:ind w:firstLineChars="200" w:firstLine="480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</w:p>
          <w:p w:rsidR="003C1512" w:rsidRDefault="003C1512" w:rsidP="003C1512">
            <w:pPr>
              <w:tabs>
                <w:tab w:val="left" w:pos="0"/>
              </w:tabs>
              <w:ind w:firstLineChars="200" w:firstLine="482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问：</w:t>
            </w:r>
            <w:r w:rsidR="00447AAB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目前</w:t>
            </w:r>
            <w:r w:rsidR="0061509E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公司</w:t>
            </w:r>
            <w:r w:rsidR="00447AAB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下属在产</w:t>
            </w:r>
            <w:r w:rsidR="0061509E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矿山的产能分别是多少</w:t>
            </w:r>
            <w:r w:rsidRPr="002314AB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？</w:t>
            </w:r>
            <w:r w:rsidR="00D310CF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金山矿业一水硫酸锰生产线</w:t>
            </w:r>
            <w:r w:rsidR="0009122B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建设情况如何？</w:t>
            </w:r>
          </w:p>
          <w:p w:rsidR="003C1512" w:rsidRDefault="003C1512" w:rsidP="003C1512">
            <w:pPr>
              <w:tabs>
                <w:tab w:val="left" w:pos="0"/>
              </w:tabs>
              <w:ind w:firstLineChars="200" w:firstLine="480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答</w:t>
            </w:r>
            <w:r w:rsidRPr="00467592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="00447AAB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目前公司下属在产矿山设计的年总产能</w:t>
            </w:r>
            <w:r w:rsidR="00D310CF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接近200</w:t>
            </w:r>
            <w:r w:rsidR="00447AAB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万吨，其中银都矿业90万吨</w:t>
            </w:r>
            <w:r w:rsidR="00D310CF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，</w:t>
            </w:r>
            <w:r w:rsidR="00447AAB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金山矿业</w:t>
            </w:r>
            <w:r w:rsidR="005B3E18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48万吨</w:t>
            </w:r>
            <w:r w:rsidR="00D310CF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（2020年6月底扩产至90万吨）</w:t>
            </w:r>
            <w:r w:rsidR="005B3E18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，</w:t>
            </w:r>
            <w:r w:rsidR="00447AAB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光大矿业和赤峰金都各30万吨</w:t>
            </w:r>
            <w:r w:rsidR="00D310CF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。</w:t>
            </w:r>
            <w:r w:rsidR="00E400EB" w:rsidRPr="00E400EB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金山矿业</w:t>
            </w:r>
            <w:r w:rsidR="00E400EB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年产3.5万吨</w:t>
            </w:r>
            <w:r w:rsidR="00E400EB" w:rsidRPr="00E400EB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一水硫酸锰生产线</w:t>
            </w:r>
            <w:r w:rsidR="00E400EB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目前正在加紧建设中，</w:t>
            </w:r>
            <w:r w:rsidR="005E0D22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该生产线的原料为金山矿业</w:t>
            </w:r>
            <w:r w:rsidR="00E400EB" w:rsidRPr="00E400EB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生产过程中产生的锰银混合精矿</w:t>
            </w:r>
            <w:r w:rsidR="005E0D22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。</w:t>
            </w:r>
            <w:r w:rsidR="00E400EB" w:rsidRPr="00E400EB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一水硫酸锰是重要的微量元素肥料之一，在畜牧业和饲料业中作饲料添加剂。</w:t>
            </w:r>
            <w:r w:rsidR="00BD1139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进一步提纯后的</w:t>
            </w:r>
            <w:r w:rsidR="00E400EB" w:rsidRPr="00E400EB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高纯硫酸锰主要用于制备新能源电池正极三元材料（镍钴锰酸锂）的前驱体。</w:t>
            </w:r>
          </w:p>
          <w:p w:rsidR="00BD632E" w:rsidRDefault="00BD632E" w:rsidP="003C1512">
            <w:pPr>
              <w:tabs>
                <w:tab w:val="left" w:pos="0"/>
              </w:tabs>
              <w:ind w:firstLineChars="200" w:firstLine="480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</w:p>
          <w:p w:rsidR="00DE49D0" w:rsidRDefault="00F17CD5" w:rsidP="00DE49D0">
            <w:pPr>
              <w:tabs>
                <w:tab w:val="left" w:pos="0"/>
              </w:tabs>
              <w:ind w:firstLineChars="200" w:firstLine="482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问：</w:t>
            </w:r>
            <w:r w:rsidR="00DE49D0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公司</w:t>
            </w:r>
            <w:r w:rsidR="00CB76F7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在矿山收购方面，</w:t>
            </w:r>
            <w:r w:rsidR="00DE49D0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目前进展如何</w:t>
            </w:r>
            <w:r w:rsidR="00DE49D0" w:rsidRPr="00EE26B5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？</w:t>
            </w:r>
            <w:r w:rsidR="00DE49D0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</w:p>
          <w:p w:rsidR="00DE49D0" w:rsidRPr="00467592" w:rsidRDefault="00DE49D0" w:rsidP="00DE49D0">
            <w:pPr>
              <w:tabs>
                <w:tab w:val="left" w:pos="0"/>
              </w:tabs>
              <w:ind w:firstLineChars="200" w:firstLine="480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答</w:t>
            </w:r>
            <w:r w:rsidRPr="00AD0069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="00CB76F7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我们在年报里面提到了，管理层的目标是每年完成一</w:t>
            </w:r>
            <w:r w:rsidR="00CB76F7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lastRenderedPageBreak/>
              <w:t>个矿山项目的收购。</w:t>
            </w:r>
            <w:r w:rsidR="00245FD3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从去年开始，</w:t>
            </w:r>
            <w:r w:rsidR="00CB76F7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公司</w:t>
            </w:r>
            <w:r w:rsidR="00245FD3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也</w:t>
            </w:r>
            <w:r w:rsidR="004B11FF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储备了比较多的项目，部分项目还是很优质的，目前公司正在加快对重点项目的储量核实与商务沟通。总体上看</w:t>
            </w:r>
            <w:r w:rsidR="00CB76F7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，进展比较满意</w:t>
            </w:r>
            <w:r w:rsidRPr="00D939A8">
              <w:rPr>
                <w:rFonts w:ascii="宋体"/>
                <w:bCs/>
                <w:iCs/>
                <w:color w:val="000000"/>
                <w:kern w:val="0"/>
                <w:sz w:val="24"/>
              </w:rPr>
              <w:t>。</w:t>
            </w:r>
          </w:p>
          <w:p w:rsidR="00115ED6" w:rsidRPr="00B71D44" w:rsidRDefault="00115ED6" w:rsidP="00DF37CD">
            <w:pPr>
              <w:tabs>
                <w:tab w:val="left" w:pos="0"/>
              </w:tabs>
              <w:ind w:firstLineChars="200" w:firstLine="482"/>
              <w:rPr>
                <w:rFonts w:ascii="宋体"/>
                <w:b/>
                <w:bCs/>
                <w:iCs/>
                <w:color w:val="000000"/>
                <w:kern w:val="0"/>
                <w:sz w:val="24"/>
              </w:rPr>
            </w:pPr>
          </w:p>
          <w:p w:rsidR="00115ED6" w:rsidRDefault="00F17CD5" w:rsidP="00DF37CD">
            <w:pPr>
              <w:tabs>
                <w:tab w:val="left" w:pos="0"/>
              </w:tabs>
              <w:ind w:firstLineChars="200" w:firstLine="482"/>
              <w:rPr>
                <w:rFonts w:asci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问：</w:t>
            </w:r>
            <w:r w:rsidR="00835EED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公司下属矿山是否在开展“绿色矿山”的建设？</w:t>
            </w:r>
          </w:p>
          <w:p w:rsidR="00DF3C9E" w:rsidRDefault="002C569E" w:rsidP="00DF3C9E">
            <w:pPr>
              <w:tabs>
                <w:tab w:val="left" w:pos="0"/>
              </w:tabs>
              <w:ind w:firstLineChars="200" w:firstLine="480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答</w:t>
            </w:r>
            <w:r w:rsidR="005E2013" w:rsidRPr="002C569E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="0058449A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公司一直重视“绿色矿山”建设工作，</w:t>
            </w:r>
            <w:r w:rsidR="00665848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加大环保投入</w:t>
            </w:r>
            <w:r w:rsidR="009118EF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，以实际行动践行“绿水青山就是金山银山”的绿色发展理念</w:t>
            </w:r>
            <w:r w:rsidR="00665848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。</w:t>
            </w:r>
            <w:r w:rsidR="005A4E0E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控股子公司银都矿业自2012年12月起就被国土资源部列为第二批国家级“绿色矿山”试点企业；全资子公司光大矿业</w:t>
            </w:r>
            <w:r w:rsidR="00E43E14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的</w:t>
            </w:r>
            <w:r w:rsidR="00C63E8F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自治区级</w:t>
            </w:r>
            <w:r w:rsidR="00E43E14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绿色矿山创建工作</w:t>
            </w:r>
            <w:r w:rsidR="00202617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于2018年底</w:t>
            </w:r>
            <w:r w:rsidR="00E43E14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通过</w:t>
            </w:r>
            <w:r w:rsidR="00E43E14" w:rsidRPr="00E43E14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克什克腾旗国土局委托的第三方核查评估机构专家组</w:t>
            </w:r>
            <w:r w:rsidR="00E43E14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评估验收。</w:t>
            </w:r>
            <w:r w:rsidR="009E601A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公司将</w:t>
            </w:r>
            <w:r w:rsidR="003D3685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逐一制定、论证</w:t>
            </w:r>
            <w:r w:rsidR="00E122C7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D3685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完成其他下属矿业子公司的绿色矿山建设方案，适应矿业发展新要求。</w:t>
            </w:r>
          </w:p>
          <w:p w:rsidR="00712B11" w:rsidRPr="00794C7F" w:rsidRDefault="00712B11" w:rsidP="00DF3C9E">
            <w:pPr>
              <w:tabs>
                <w:tab w:val="left" w:pos="0"/>
              </w:tabs>
              <w:ind w:firstLineChars="200" w:firstLine="480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</w:p>
          <w:p w:rsidR="0065542C" w:rsidRDefault="00F17CD5" w:rsidP="00DF3C9E">
            <w:pPr>
              <w:tabs>
                <w:tab w:val="left" w:pos="0"/>
              </w:tabs>
              <w:ind w:firstLineChars="200" w:firstLine="482"/>
              <w:rPr>
                <w:rFonts w:asci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问：</w:t>
            </w:r>
            <w:r w:rsidR="00DE76E8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公司</w:t>
            </w:r>
            <w:r w:rsidR="00E86753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目前持有12</w:t>
            </w:r>
            <w:r w:rsidR="003F12B0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亿左右的金融资产，</w:t>
            </w:r>
            <w:bookmarkStart w:id="0" w:name="_GoBack"/>
            <w:bookmarkEnd w:id="0"/>
            <w:r w:rsidR="000D709C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投资收益</w:t>
            </w:r>
            <w:r w:rsidR="00E86753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如何</w:t>
            </w:r>
            <w:r w:rsidR="00DE76E8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？</w:t>
            </w:r>
            <w:r w:rsidR="00E86753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未来是否有处置计划？</w:t>
            </w:r>
          </w:p>
          <w:p w:rsidR="0014298D" w:rsidRDefault="00DE76E8" w:rsidP="009B1271">
            <w:pPr>
              <w:tabs>
                <w:tab w:val="left" w:pos="0"/>
              </w:tabs>
              <w:ind w:firstLineChars="200" w:firstLine="480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 w:rsidRPr="00DE76E8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答</w:t>
            </w:r>
            <w:r w:rsidR="00C9267B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="00CF720C" w:rsidRPr="00CF720C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公司</w:t>
            </w:r>
            <w:r w:rsidR="000D709C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前期投资了包括</w:t>
            </w:r>
            <w:r w:rsidR="00CF720C" w:rsidRPr="00CF720C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兰州银行、华龙证券</w:t>
            </w:r>
            <w:r w:rsidR="00BD1139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在内的</w:t>
            </w:r>
            <w:r w:rsidR="000D709C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一批</w:t>
            </w:r>
            <w:r w:rsidR="00BD1139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优质</w:t>
            </w:r>
            <w:r w:rsidR="000D709C" w:rsidRPr="00CF720C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企业</w:t>
            </w:r>
            <w:r w:rsidR="000D709C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，经过</w:t>
            </w:r>
            <w:r w:rsidR="00E36DB7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近</w:t>
            </w:r>
            <w:r w:rsidR="00991476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几年的发展</w:t>
            </w:r>
            <w:r w:rsidR="000D709C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，目前都取得了较好的投资收益</w:t>
            </w:r>
            <w:r w:rsidR="00991476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。</w:t>
            </w:r>
            <w:r w:rsidR="008617E9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特别是兰州银行、华龙证券</w:t>
            </w:r>
            <w:r w:rsidR="008D4249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都在推进上市，</w:t>
            </w:r>
            <w:r w:rsidR="00C30072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兰州银行</w:t>
            </w:r>
            <w:r w:rsidR="00F80070" w:rsidRPr="00F80070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上市正在证监会审核中</w:t>
            </w:r>
            <w:r w:rsidR="00F80070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，华龙证券</w:t>
            </w:r>
            <w:r w:rsidR="0045705A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上市的</w:t>
            </w:r>
            <w:r w:rsidR="00F80070" w:rsidRPr="00F80070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准备工作</w:t>
            </w:r>
            <w:r w:rsidR="0045705A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也比较顺利</w:t>
            </w:r>
            <w:r w:rsidR="00F80070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，</w:t>
            </w:r>
            <w:r w:rsidR="00F77724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这两个项目上市后，公司</w:t>
            </w:r>
            <w:r w:rsidR="009F5A33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预计</w:t>
            </w:r>
            <w:r w:rsidR="00F77724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投资收益将非常可观。</w:t>
            </w:r>
          </w:p>
          <w:p w:rsidR="00CF720C" w:rsidRDefault="004477C7" w:rsidP="009B1271">
            <w:pPr>
              <w:tabs>
                <w:tab w:val="left" w:pos="0"/>
              </w:tabs>
              <w:ind w:firstLineChars="200" w:firstLine="480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根据公司确定的发展战略，未来公司将在原生矿产资源和城市矿山资源</w:t>
            </w:r>
            <w:r w:rsidR="0045705A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及相关下游产业链</w:t>
            </w: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方面重点开拓，</w:t>
            </w:r>
            <w:r w:rsidR="00C30072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公司将</w:t>
            </w:r>
            <w:r w:rsidR="00CF720C" w:rsidRPr="00CF720C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充分研判</w:t>
            </w:r>
            <w:r w:rsidR="0045705A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已投资项目的</w:t>
            </w:r>
            <w:r w:rsidR="00CF720C" w:rsidRPr="00CF720C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退出时机</w:t>
            </w:r>
            <w:r w:rsidR="00424391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，为公司发展战略的实施提供资金支持</w:t>
            </w:r>
            <w:r w:rsidR="00CF720C" w:rsidRPr="00CF720C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。</w:t>
            </w:r>
          </w:p>
          <w:p w:rsidR="00DE76E8" w:rsidRPr="00584079" w:rsidRDefault="00DE76E8" w:rsidP="00DF3C9E">
            <w:pPr>
              <w:tabs>
                <w:tab w:val="left" w:pos="0"/>
              </w:tabs>
              <w:ind w:firstLineChars="200" w:firstLine="480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</w:p>
          <w:p w:rsidR="00DF3C9E" w:rsidRPr="007F04FC" w:rsidRDefault="00F17CD5" w:rsidP="007F04FC">
            <w:pPr>
              <w:tabs>
                <w:tab w:val="left" w:pos="0"/>
              </w:tabs>
              <w:ind w:firstLineChars="200" w:firstLine="482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问：</w:t>
            </w:r>
            <w:r w:rsidR="00DF3C9E" w:rsidRPr="00592EA1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公司如何看待</w:t>
            </w:r>
            <w:r w:rsidR="001E3761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未来</w:t>
            </w:r>
            <w:r w:rsidR="007F04FC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白银价格</w:t>
            </w:r>
            <w:r w:rsidR="00DF3C9E" w:rsidRPr="00592EA1">
              <w:rPr>
                <w:rFonts w:ascii="宋体" w:hint="eastAsia"/>
                <w:b/>
                <w:bCs/>
                <w:iCs/>
                <w:color w:val="000000"/>
                <w:kern w:val="0"/>
                <w:sz w:val="24"/>
              </w:rPr>
              <w:t>走势？</w:t>
            </w:r>
          </w:p>
          <w:p w:rsidR="002F51C1" w:rsidRDefault="007E02A6" w:rsidP="008A492A">
            <w:pPr>
              <w:tabs>
                <w:tab w:val="left" w:pos="0"/>
              </w:tabs>
              <w:ind w:firstLineChars="200" w:firstLine="480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答：</w:t>
            </w:r>
            <w:r w:rsidR="00057505" w:rsidRPr="00057505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白银既有工业属性，也有贵金属属性。</w:t>
            </w:r>
            <w:r w:rsidR="008A492A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从价格波动看，比黄金大，也就是弹性大</w:t>
            </w:r>
            <w:r w:rsidR="00057505" w:rsidRPr="00057505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。</w:t>
            </w:r>
            <w:r w:rsidR="008A492A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这段时间</w:t>
            </w:r>
            <w:r w:rsidR="0065772F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，市场避险情绪大幅升温，</w:t>
            </w:r>
            <w:r w:rsidR="008A492A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贵金属</w:t>
            </w:r>
            <w:r w:rsidR="00057505" w:rsidRPr="00057505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作为避险工具，我们认为会有比较好的走势。同时，</w:t>
            </w:r>
            <w:r w:rsidR="0065772F" w:rsidRPr="0065772F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金银比超过88:1，创下1992年以来的新高</w:t>
            </w:r>
            <w:r w:rsidR="008A492A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，中长期看，白银价格肯定要向上修复的</w:t>
            </w:r>
            <w:r w:rsidR="00CB76F7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。所以一方面，目前白银价格处于弱市，给我们提供了良好的并购机遇；另一方面，</w:t>
            </w:r>
            <w:r w:rsidR="0065772F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我们</w:t>
            </w:r>
            <w:r w:rsidR="00CB76F7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也</w:t>
            </w:r>
            <w:r w:rsidR="0065772F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非常看好未来白银价格</w:t>
            </w:r>
            <w:r w:rsidR="0065772F" w:rsidRPr="00057505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的表现。</w:t>
            </w:r>
          </w:p>
        </w:tc>
      </w:tr>
      <w:tr w:rsidR="002F51C1">
        <w:trPr>
          <w:trHeight w:val="284"/>
        </w:trPr>
        <w:tc>
          <w:tcPr>
            <w:tcW w:w="1809" w:type="dxa"/>
            <w:vAlign w:val="center"/>
          </w:tcPr>
          <w:p w:rsidR="002F51C1" w:rsidRDefault="002F51C1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713" w:type="dxa"/>
            <w:vAlign w:val="center"/>
          </w:tcPr>
          <w:p w:rsidR="002F51C1" w:rsidRDefault="002F51C1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F51C1">
        <w:trPr>
          <w:trHeight w:val="284"/>
        </w:trPr>
        <w:tc>
          <w:tcPr>
            <w:tcW w:w="1809" w:type="dxa"/>
            <w:vAlign w:val="center"/>
          </w:tcPr>
          <w:p w:rsidR="002F51C1" w:rsidRDefault="002F51C1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713" w:type="dxa"/>
            <w:vAlign w:val="center"/>
          </w:tcPr>
          <w:p w:rsidR="002F51C1" w:rsidRDefault="00A71372" w:rsidP="006159E3">
            <w:pPr>
              <w:spacing w:line="480" w:lineRule="atLeast"/>
              <w:rPr>
                <w:rFonts w:asci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201</w:t>
            </w:r>
            <w:r w:rsidR="006159E3">
              <w:rPr>
                <w:rFonts w:ascii="宋体"/>
                <w:bCs/>
                <w:iCs/>
                <w:color w:val="000000"/>
                <w:kern w:val="0"/>
                <w:sz w:val="24"/>
              </w:rPr>
              <w:t>9</w:t>
            </w:r>
            <w:r w:rsidR="002F51C1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6159E3">
              <w:rPr>
                <w:rFonts w:ascii="宋体"/>
                <w:bCs/>
                <w:iCs/>
                <w:color w:val="000000"/>
                <w:kern w:val="0"/>
                <w:sz w:val="24"/>
              </w:rPr>
              <w:t>6</w:t>
            </w:r>
            <w:r w:rsidR="002F51C1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6159E3">
              <w:rPr>
                <w:rFonts w:ascii="宋体"/>
                <w:bCs/>
                <w:iCs/>
                <w:color w:val="000000"/>
                <w:kern w:val="0"/>
                <w:sz w:val="24"/>
              </w:rPr>
              <w:t>10</w:t>
            </w:r>
            <w:r w:rsidR="002F51C1">
              <w:rPr>
                <w:rFonts w:ascii="宋体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:rsidR="002F51C1" w:rsidRDefault="002F51C1"/>
    <w:sectPr w:rsidR="002F51C1" w:rsidSect="004D5CEB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3A" w:rsidRDefault="000B103A">
      <w:r>
        <w:separator/>
      </w:r>
    </w:p>
  </w:endnote>
  <w:endnote w:type="continuationSeparator" w:id="0">
    <w:p w:rsidR="000B103A" w:rsidRDefault="000B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C1" w:rsidRDefault="002F51C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12B0" w:rsidRPr="003F12B0">
      <w:rPr>
        <w:noProof/>
        <w:lang w:val="zh-CN"/>
      </w:rPr>
      <w:t>3</w:t>
    </w:r>
    <w:r>
      <w:fldChar w:fldCharType="end"/>
    </w:r>
  </w:p>
  <w:p w:rsidR="002F51C1" w:rsidRDefault="002F51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3A" w:rsidRDefault="000B103A">
      <w:r>
        <w:separator/>
      </w:r>
    </w:p>
  </w:footnote>
  <w:footnote w:type="continuationSeparator" w:id="0">
    <w:p w:rsidR="000B103A" w:rsidRDefault="000B1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CA3"/>
    <w:rsid w:val="000002DC"/>
    <w:rsid w:val="00000DA0"/>
    <w:rsid w:val="000022FE"/>
    <w:rsid w:val="00005493"/>
    <w:rsid w:val="00005F4E"/>
    <w:rsid w:val="000067A5"/>
    <w:rsid w:val="00014357"/>
    <w:rsid w:val="00014EF1"/>
    <w:rsid w:val="0001567C"/>
    <w:rsid w:val="00020516"/>
    <w:rsid w:val="00021352"/>
    <w:rsid w:val="000232CE"/>
    <w:rsid w:val="00025AD6"/>
    <w:rsid w:val="00026260"/>
    <w:rsid w:val="000330CC"/>
    <w:rsid w:val="00037AB1"/>
    <w:rsid w:val="00041161"/>
    <w:rsid w:val="00044C1A"/>
    <w:rsid w:val="0005476B"/>
    <w:rsid w:val="00055219"/>
    <w:rsid w:val="00057505"/>
    <w:rsid w:val="00062E13"/>
    <w:rsid w:val="00065563"/>
    <w:rsid w:val="00072D7C"/>
    <w:rsid w:val="000751EE"/>
    <w:rsid w:val="0007529A"/>
    <w:rsid w:val="00076CD7"/>
    <w:rsid w:val="00085F79"/>
    <w:rsid w:val="00087CA2"/>
    <w:rsid w:val="0009122B"/>
    <w:rsid w:val="000941E8"/>
    <w:rsid w:val="00094AB5"/>
    <w:rsid w:val="000968E8"/>
    <w:rsid w:val="00097226"/>
    <w:rsid w:val="00097A05"/>
    <w:rsid w:val="000A6DA5"/>
    <w:rsid w:val="000A78D2"/>
    <w:rsid w:val="000B0967"/>
    <w:rsid w:val="000B0B38"/>
    <w:rsid w:val="000B103A"/>
    <w:rsid w:val="000B20D6"/>
    <w:rsid w:val="000B582D"/>
    <w:rsid w:val="000C630B"/>
    <w:rsid w:val="000C7E84"/>
    <w:rsid w:val="000D2CBF"/>
    <w:rsid w:val="000D709C"/>
    <w:rsid w:val="000D7978"/>
    <w:rsid w:val="000E69D7"/>
    <w:rsid w:val="000E6A48"/>
    <w:rsid w:val="000F138A"/>
    <w:rsid w:val="000F3D1B"/>
    <w:rsid w:val="000F4CCA"/>
    <w:rsid w:val="000F545B"/>
    <w:rsid w:val="000F614D"/>
    <w:rsid w:val="001048DB"/>
    <w:rsid w:val="0010662F"/>
    <w:rsid w:val="00107201"/>
    <w:rsid w:val="0011275C"/>
    <w:rsid w:val="00115ED6"/>
    <w:rsid w:val="001203AA"/>
    <w:rsid w:val="00124696"/>
    <w:rsid w:val="001318D1"/>
    <w:rsid w:val="00142107"/>
    <w:rsid w:val="001428B1"/>
    <w:rsid w:val="0014298D"/>
    <w:rsid w:val="001477EC"/>
    <w:rsid w:val="00150577"/>
    <w:rsid w:val="001515D6"/>
    <w:rsid w:val="001517EC"/>
    <w:rsid w:val="0015276A"/>
    <w:rsid w:val="0015496B"/>
    <w:rsid w:val="00160BAD"/>
    <w:rsid w:val="00160F48"/>
    <w:rsid w:val="00161B60"/>
    <w:rsid w:val="00164312"/>
    <w:rsid w:val="0017164B"/>
    <w:rsid w:val="00173DC2"/>
    <w:rsid w:val="00177347"/>
    <w:rsid w:val="001810C8"/>
    <w:rsid w:val="00181201"/>
    <w:rsid w:val="00181229"/>
    <w:rsid w:val="00186E00"/>
    <w:rsid w:val="001939CE"/>
    <w:rsid w:val="00194700"/>
    <w:rsid w:val="00196C50"/>
    <w:rsid w:val="001A246E"/>
    <w:rsid w:val="001A3487"/>
    <w:rsid w:val="001A3826"/>
    <w:rsid w:val="001A38CB"/>
    <w:rsid w:val="001A6BA6"/>
    <w:rsid w:val="001B1EF2"/>
    <w:rsid w:val="001B2CA8"/>
    <w:rsid w:val="001C0B7F"/>
    <w:rsid w:val="001C0CCA"/>
    <w:rsid w:val="001C2C9B"/>
    <w:rsid w:val="001D1C96"/>
    <w:rsid w:val="001D3373"/>
    <w:rsid w:val="001D4B8D"/>
    <w:rsid w:val="001D4DE8"/>
    <w:rsid w:val="001D5CF2"/>
    <w:rsid w:val="001D6E11"/>
    <w:rsid w:val="001E13D6"/>
    <w:rsid w:val="001E3761"/>
    <w:rsid w:val="001E7382"/>
    <w:rsid w:val="001F008A"/>
    <w:rsid w:val="001F0C74"/>
    <w:rsid w:val="001F4B70"/>
    <w:rsid w:val="001F633A"/>
    <w:rsid w:val="001F667A"/>
    <w:rsid w:val="00202404"/>
    <w:rsid w:val="00202617"/>
    <w:rsid w:val="00207195"/>
    <w:rsid w:val="00214CB8"/>
    <w:rsid w:val="00216383"/>
    <w:rsid w:val="002200EA"/>
    <w:rsid w:val="002229B8"/>
    <w:rsid w:val="002314AB"/>
    <w:rsid w:val="00231643"/>
    <w:rsid w:val="002334B5"/>
    <w:rsid w:val="00234554"/>
    <w:rsid w:val="00235717"/>
    <w:rsid w:val="00235B76"/>
    <w:rsid w:val="00240C17"/>
    <w:rsid w:val="00245199"/>
    <w:rsid w:val="00245FD3"/>
    <w:rsid w:val="00252315"/>
    <w:rsid w:val="00253F60"/>
    <w:rsid w:val="002551CB"/>
    <w:rsid w:val="00256F03"/>
    <w:rsid w:val="00262560"/>
    <w:rsid w:val="00263AD3"/>
    <w:rsid w:val="002710DE"/>
    <w:rsid w:val="002717B7"/>
    <w:rsid w:val="00271FB4"/>
    <w:rsid w:val="002720D0"/>
    <w:rsid w:val="00274814"/>
    <w:rsid w:val="002760D8"/>
    <w:rsid w:val="00277F23"/>
    <w:rsid w:val="00282062"/>
    <w:rsid w:val="00284800"/>
    <w:rsid w:val="002849E7"/>
    <w:rsid w:val="00286339"/>
    <w:rsid w:val="00292927"/>
    <w:rsid w:val="002952AA"/>
    <w:rsid w:val="002A1747"/>
    <w:rsid w:val="002A1877"/>
    <w:rsid w:val="002A2720"/>
    <w:rsid w:val="002A608B"/>
    <w:rsid w:val="002B1383"/>
    <w:rsid w:val="002B2D70"/>
    <w:rsid w:val="002B4BBB"/>
    <w:rsid w:val="002B4D22"/>
    <w:rsid w:val="002B6048"/>
    <w:rsid w:val="002C048A"/>
    <w:rsid w:val="002C0DBF"/>
    <w:rsid w:val="002C569E"/>
    <w:rsid w:val="002D073B"/>
    <w:rsid w:val="002D0F1C"/>
    <w:rsid w:val="002E20A3"/>
    <w:rsid w:val="002E225D"/>
    <w:rsid w:val="002E480D"/>
    <w:rsid w:val="002F189C"/>
    <w:rsid w:val="002F4C50"/>
    <w:rsid w:val="002F4C9E"/>
    <w:rsid w:val="002F51C1"/>
    <w:rsid w:val="002F705B"/>
    <w:rsid w:val="00311676"/>
    <w:rsid w:val="00311A7D"/>
    <w:rsid w:val="00313EAE"/>
    <w:rsid w:val="00314671"/>
    <w:rsid w:val="00314AAB"/>
    <w:rsid w:val="0032131C"/>
    <w:rsid w:val="00321768"/>
    <w:rsid w:val="00323D56"/>
    <w:rsid w:val="003253B8"/>
    <w:rsid w:val="00334BF3"/>
    <w:rsid w:val="003428C4"/>
    <w:rsid w:val="00343890"/>
    <w:rsid w:val="0035043F"/>
    <w:rsid w:val="003650FB"/>
    <w:rsid w:val="003654F0"/>
    <w:rsid w:val="0037136B"/>
    <w:rsid w:val="00376AEE"/>
    <w:rsid w:val="0038140E"/>
    <w:rsid w:val="00396F2B"/>
    <w:rsid w:val="003B0634"/>
    <w:rsid w:val="003B5B59"/>
    <w:rsid w:val="003B71B4"/>
    <w:rsid w:val="003B7C4E"/>
    <w:rsid w:val="003C067F"/>
    <w:rsid w:val="003C1512"/>
    <w:rsid w:val="003C22DF"/>
    <w:rsid w:val="003C32CE"/>
    <w:rsid w:val="003C4F73"/>
    <w:rsid w:val="003C70A1"/>
    <w:rsid w:val="003D3685"/>
    <w:rsid w:val="003E3048"/>
    <w:rsid w:val="003E5D81"/>
    <w:rsid w:val="003F12B0"/>
    <w:rsid w:val="003F4A2F"/>
    <w:rsid w:val="003F6BA3"/>
    <w:rsid w:val="003F7AD2"/>
    <w:rsid w:val="004032F8"/>
    <w:rsid w:val="004060EF"/>
    <w:rsid w:val="0041351A"/>
    <w:rsid w:val="00416887"/>
    <w:rsid w:val="00424391"/>
    <w:rsid w:val="004267F3"/>
    <w:rsid w:val="00427226"/>
    <w:rsid w:val="004317B1"/>
    <w:rsid w:val="00432830"/>
    <w:rsid w:val="0043377A"/>
    <w:rsid w:val="004412F9"/>
    <w:rsid w:val="004415E3"/>
    <w:rsid w:val="00441F24"/>
    <w:rsid w:val="00442964"/>
    <w:rsid w:val="004454FD"/>
    <w:rsid w:val="00445726"/>
    <w:rsid w:val="00446F8C"/>
    <w:rsid w:val="004477C7"/>
    <w:rsid w:val="00447991"/>
    <w:rsid w:val="00447AAB"/>
    <w:rsid w:val="00451C8E"/>
    <w:rsid w:val="004522D6"/>
    <w:rsid w:val="004560B5"/>
    <w:rsid w:val="0045705A"/>
    <w:rsid w:val="0045748A"/>
    <w:rsid w:val="004630DE"/>
    <w:rsid w:val="004638A4"/>
    <w:rsid w:val="00463A90"/>
    <w:rsid w:val="00467592"/>
    <w:rsid w:val="00470717"/>
    <w:rsid w:val="00473007"/>
    <w:rsid w:val="0047440A"/>
    <w:rsid w:val="00477FBF"/>
    <w:rsid w:val="00480E65"/>
    <w:rsid w:val="0048351E"/>
    <w:rsid w:val="00485182"/>
    <w:rsid w:val="004936CB"/>
    <w:rsid w:val="004A2ECB"/>
    <w:rsid w:val="004A4591"/>
    <w:rsid w:val="004A6FED"/>
    <w:rsid w:val="004A7208"/>
    <w:rsid w:val="004A7C31"/>
    <w:rsid w:val="004B11FF"/>
    <w:rsid w:val="004B434E"/>
    <w:rsid w:val="004B6944"/>
    <w:rsid w:val="004B76DC"/>
    <w:rsid w:val="004C055C"/>
    <w:rsid w:val="004C0F0E"/>
    <w:rsid w:val="004C3A08"/>
    <w:rsid w:val="004C66DB"/>
    <w:rsid w:val="004C6FE3"/>
    <w:rsid w:val="004D07A6"/>
    <w:rsid w:val="004D1A31"/>
    <w:rsid w:val="004D4438"/>
    <w:rsid w:val="004D5CEB"/>
    <w:rsid w:val="004D6478"/>
    <w:rsid w:val="004D79DA"/>
    <w:rsid w:val="004E53CC"/>
    <w:rsid w:val="004E6332"/>
    <w:rsid w:val="004F00D3"/>
    <w:rsid w:val="004F170B"/>
    <w:rsid w:val="004F69C4"/>
    <w:rsid w:val="004F757D"/>
    <w:rsid w:val="004F769D"/>
    <w:rsid w:val="00500514"/>
    <w:rsid w:val="00503A46"/>
    <w:rsid w:val="0051227A"/>
    <w:rsid w:val="005138E5"/>
    <w:rsid w:val="0051671B"/>
    <w:rsid w:val="00517992"/>
    <w:rsid w:val="00520E69"/>
    <w:rsid w:val="00521FFF"/>
    <w:rsid w:val="00527872"/>
    <w:rsid w:val="00532702"/>
    <w:rsid w:val="00532995"/>
    <w:rsid w:val="005341AB"/>
    <w:rsid w:val="00536A2E"/>
    <w:rsid w:val="00537F32"/>
    <w:rsid w:val="0054629A"/>
    <w:rsid w:val="00547FBF"/>
    <w:rsid w:val="00551FC1"/>
    <w:rsid w:val="005669CD"/>
    <w:rsid w:val="005710F0"/>
    <w:rsid w:val="00572FD7"/>
    <w:rsid w:val="00573796"/>
    <w:rsid w:val="005754B3"/>
    <w:rsid w:val="0057736F"/>
    <w:rsid w:val="00577427"/>
    <w:rsid w:val="0058294F"/>
    <w:rsid w:val="00584079"/>
    <w:rsid w:val="0058449A"/>
    <w:rsid w:val="00586774"/>
    <w:rsid w:val="0059005E"/>
    <w:rsid w:val="00591FBF"/>
    <w:rsid w:val="00592195"/>
    <w:rsid w:val="00592EA1"/>
    <w:rsid w:val="005957DB"/>
    <w:rsid w:val="005961BE"/>
    <w:rsid w:val="005A09C5"/>
    <w:rsid w:val="005A3DA6"/>
    <w:rsid w:val="005A3FD6"/>
    <w:rsid w:val="005A4E0E"/>
    <w:rsid w:val="005B187D"/>
    <w:rsid w:val="005B24AD"/>
    <w:rsid w:val="005B270B"/>
    <w:rsid w:val="005B2C5C"/>
    <w:rsid w:val="005B3E18"/>
    <w:rsid w:val="005B6F2D"/>
    <w:rsid w:val="005C3770"/>
    <w:rsid w:val="005D4113"/>
    <w:rsid w:val="005D52C1"/>
    <w:rsid w:val="005D6409"/>
    <w:rsid w:val="005E0D22"/>
    <w:rsid w:val="005E2013"/>
    <w:rsid w:val="005F15A7"/>
    <w:rsid w:val="005F4456"/>
    <w:rsid w:val="005F782C"/>
    <w:rsid w:val="00602D88"/>
    <w:rsid w:val="00610329"/>
    <w:rsid w:val="00610710"/>
    <w:rsid w:val="00610E4F"/>
    <w:rsid w:val="006115DA"/>
    <w:rsid w:val="00611C7B"/>
    <w:rsid w:val="00612623"/>
    <w:rsid w:val="00614F68"/>
    <w:rsid w:val="0061509E"/>
    <w:rsid w:val="006159E3"/>
    <w:rsid w:val="006216FE"/>
    <w:rsid w:val="00622B36"/>
    <w:rsid w:val="006259D6"/>
    <w:rsid w:val="00625E43"/>
    <w:rsid w:val="006275F2"/>
    <w:rsid w:val="00627B0E"/>
    <w:rsid w:val="0063252D"/>
    <w:rsid w:val="00643E30"/>
    <w:rsid w:val="00646B3D"/>
    <w:rsid w:val="00647894"/>
    <w:rsid w:val="006511BC"/>
    <w:rsid w:val="00651F03"/>
    <w:rsid w:val="00653725"/>
    <w:rsid w:val="00654F8D"/>
    <w:rsid w:val="0065542C"/>
    <w:rsid w:val="0065772F"/>
    <w:rsid w:val="00657B76"/>
    <w:rsid w:val="00662635"/>
    <w:rsid w:val="00665848"/>
    <w:rsid w:val="0068060C"/>
    <w:rsid w:val="00686DAA"/>
    <w:rsid w:val="006908B3"/>
    <w:rsid w:val="0069121A"/>
    <w:rsid w:val="00695B44"/>
    <w:rsid w:val="006972C2"/>
    <w:rsid w:val="006A024B"/>
    <w:rsid w:val="006A20E5"/>
    <w:rsid w:val="006A3D46"/>
    <w:rsid w:val="006A3E3F"/>
    <w:rsid w:val="006A7466"/>
    <w:rsid w:val="006B018B"/>
    <w:rsid w:val="006B5840"/>
    <w:rsid w:val="006B7FE4"/>
    <w:rsid w:val="006C0757"/>
    <w:rsid w:val="006C0E9A"/>
    <w:rsid w:val="006C2F28"/>
    <w:rsid w:val="006C334D"/>
    <w:rsid w:val="006C3692"/>
    <w:rsid w:val="006C4225"/>
    <w:rsid w:val="006C4747"/>
    <w:rsid w:val="006C6383"/>
    <w:rsid w:val="006C6663"/>
    <w:rsid w:val="006C6ECD"/>
    <w:rsid w:val="006D0EA4"/>
    <w:rsid w:val="006D16B7"/>
    <w:rsid w:val="006D4CD3"/>
    <w:rsid w:val="006D5F05"/>
    <w:rsid w:val="006E16C5"/>
    <w:rsid w:val="006E2930"/>
    <w:rsid w:val="006E3F24"/>
    <w:rsid w:val="006E4BD4"/>
    <w:rsid w:val="006E510A"/>
    <w:rsid w:val="006F437E"/>
    <w:rsid w:val="006F58D4"/>
    <w:rsid w:val="006F6AF9"/>
    <w:rsid w:val="006F7FAB"/>
    <w:rsid w:val="00700917"/>
    <w:rsid w:val="007019BD"/>
    <w:rsid w:val="00710221"/>
    <w:rsid w:val="00712B11"/>
    <w:rsid w:val="00713154"/>
    <w:rsid w:val="007132E4"/>
    <w:rsid w:val="007136FE"/>
    <w:rsid w:val="00714012"/>
    <w:rsid w:val="00715504"/>
    <w:rsid w:val="007179C3"/>
    <w:rsid w:val="00721B4E"/>
    <w:rsid w:val="0073031A"/>
    <w:rsid w:val="00735F42"/>
    <w:rsid w:val="007363E3"/>
    <w:rsid w:val="0074351E"/>
    <w:rsid w:val="007448DA"/>
    <w:rsid w:val="00744C84"/>
    <w:rsid w:val="007453F3"/>
    <w:rsid w:val="00745B06"/>
    <w:rsid w:val="00750D67"/>
    <w:rsid w:val="00754732"/>
    <w:rsid w:val="00755490"/>
    <w:rsid w:val="00756642"/>
    <w:rsid w:val="0075762D"/>
    <w:rsid w:val="00762940"/>
    <w:rsid w:val="00766F04"/>
    <w:rsid w:val="00767BC5"/>
    <w:rsid w:val="00770C32"/>
    <w:rsid w:val="00771C2E"/>
    <w:rsid w:val="00785C02"/>
    <w:rsid w:val="00791C92"/>
    <w:rsid w:val="00791E39"/>
    <w:rsid w:val="007931F1"/>
    <w:rsid w:val="00794C7F"/>
    <w:rsid w:val="007954EF"/>
    <w:rsid w:val="007969E6"/>
    <w:rsid w:val="00797D6C"/>
    <w:rsid w:val="007A1704"/>
    <w:rsid w:val="007A3C6E"/>
    <w:rsid w:val="007A3E9F"/>
    <w:rsid w:val="007A5149"/>
    <w:rsid w:val="007B43A6"/>
    <w:rsid w:val="007C2248"/>
    <w:rsid w:val="007C2F6A"/>
    <w:rsid w:val="007C4109"/>
    <w:rsid w:val="007D0449"/>
    <w:rsid w:val="007D34B5"/>
    <w:rsid w:val="007E02A6"/>
    <w:rsid w:val="007E5E96"/>
    <w:rsid w:val="007F04FC"/>
    <w:rsid w:val="007F32AE"/>
    <w:rsid w:val="007F5CE0"/>
    <w:rsid w:val="007F7257"/>
    <w:rsid w:val="007F7B1F"/>
    <w:rsid w:val="008017A6"/>
    <w:rsid w:val="008065D1"/>
    <w:rsid w:val="00814C3A"/>
    <w:rsid w:val="00814DA5"/>
    <w:rsid w:val="00821629"/>
    <w:rsid w:val="00835EED"/>
    <w:rsid w:val="00837631"/>
    <w:rsid w:val="00845284"/>
    <w:rsid w:val="00845B33"/>
    <w:rsid w:val="0085059F"/>
    <w:rsid w:val="008617E9"/>
    <w:rsid w:val="00864CE1"/>
    <w:rsid w:val="00867870"/>
    <w:rsid w:val="00871C44"/>
    <w:rsid w:val="00872B82"/>
    <w:rsid w:val="008739C5"/>
    <w:rsid w:val="00875523"/>
    <w:rsid w:val="00883B71"/>
    <w:rsid w:val="00887B14"/>
    <w:rsid w:val="00893481"/>
    <w:rsid w:val="00896B5C"/>
    <w:rsid w:val="00897528"/>
    <w:rsid w:val="008A2AC6"/>
    <w:rsid w:val="008A30D4"/>
    <w:rsid w:val="008A492A"/>
    <w:rsid w:val="008B0008"/>
    <w:rsid w:val="008B7919"/>
    <w:rsid w:val="008B7F77"/>
    <w:rsid w:val="008C1E3D"/>
    <w:rsid w:val="008C3113"/>
    <w:rsid w:val="008C4EE1"/>
    <w:rsid w:val="008C5DB7"/>
    <w:rsid w:val="008C782A"/>
    <w:rsid w:val="008D34CB"/>
    <w:rsid w:val="008D3560"/>
    <w:rsid w:val="008D4249"/>
    <w:rsid w:val="008E0F26"/>
    <w:rsid w:val="008E2A46"/>
    <w:rsid w:val="008E2E38"/>
    <w:rsid w:val="008E45BB"/>
    <w:rsid w:val="008E5395"/>
    <w:rsid w:val="008E7F6B"/>
    <w:rsid w:val="008F297C"/>
    <w:rsid w:val="008F2EC0"/>
    <w:rsid w:val="008F5E41"/>
    <w:rsid w:val="008F6EEE"/>
    <w:rsid w:val="008F7C80"/>
    <w:rsid w:val="009018B9"/>
    <w:rsid w:val="00907644"/>
    <w:rsid w:val="009118EF"/>
    <w:rsid w:val="00911F13"/>
    <w:rsid w:val="0091350D"/>
    <w:rsid w:val="00913F9C"/>
    <w:rsid w:val="00931671"/>
    <w:rsid w:val="00934CD4"/>
    <w:rsid w:val="00937EA6"/>
    <w:rsid w:val="0094381F"/>
    <w:rsid w:val="00943D6C"/>
    <w:rsid w:val="0094605B"/>
    <w:rsid w:val="00947066"/>
    <w:rsid w:val="009518B1"/>
    <w:rsid w:val="00951CEC"/>
    <w:rsid w:val="00954688"/>
    <w:rsid w:val="009567F4"/>
    <w:rsid w:val="00960BDB"/>
    <w:rsid w:val="00963647"/>
    <w:rsid w:val="00967909"/>
    <w:rsid w:val="0097091C"/>
    <w:rsid w:val="0097513F"/>
    <w:rsid w:val="00980592"/>
    <w:rsid w:val="009817E2"/>
    <w:rsid w:val="00987AAC"/>
    <w:rsid w:val="00990408"/>
    <w:rsid w:val="00991476"/>
    <w:rsid w:val="00994C0E"/>
    <w:rsid w:val="00995290"/>
    <w:rsid w:val="009955D5"/>
    <w:rsid w:val="0099577B"/>
    <w:rsid w:val="009A04A4"/>
    <w:rsid w:val="009A1A5C"/>
    <w:rsid w:val="009A26F0"/>
    <w:rsid w:val="009A5069"/>
    <w:rsid w:val="009A5725"/>
    <w:rsid w:val="009A65E3"/>
    <w:rsid w:val="009A770E"/>
    <w:rsid w:val="009B1271"/>
    <w:rsid w:val="009B3079"/>
    <w:rsid w:val="009B731B"/>
    <w:rsid w:val="009C0781"/>
    <w:rsid w:val="009C441F"/>
    <w:rsid w:val="009C71CB"/>
    <w:rsid w:val="009D03AA"/>
    <w:rsid w:val="009D11EF"/>
    <w:rsid w:val="009D204A"/>
    <w:rsid w:val="009D2335"/>
    <w:rsid w:val="009D45D2"/>
    <w:rsid w:val="009D46C7"/>
    <w:rsid w:val="009D6A67"/>
    <w:rsid w:val="009E0DBE"/>
    <w:rsid w:val="009E1226"/>
    <w:rsid w:val="009E16C2"/>
    <w:rsid w:val="009E36EE"/>
    <w:rsid w:val="009E373B"/>
    <w:rsid w:val="009E601A"/>
    <w:rsid w:val="009E7318"/>
    <w:rsid w:val="009F043C"/>
    <w:rsid w:val="009F181B"/>
    <w:rsid w:val="009F2A42"/>
    <w:rsid w:val="009F2C50"/>
    <w:rsid w:val="009F42CB"/>
    <w:rsid w:val="009F5A33"/>
    <w:rsid w:val="009F649A"/>
    <w:rsid w:val="00A01C4F"/>
    <w:rsid w:val="00A116C5"/>
    <w:rsid w:val="00A13C09"/>
    <w:rsid w:val="00A234AA"/>
    <w:rsid w:val="00A24B8A"/>
    <w:rsid w:val="00A260F5"/>
    <w:rsid w:val="00A26230"/>
    <w:rsid w:val="00A31213"/>
    <w:rsid w:val="00A3427B"/>
    <w:rsid w:val="00A35318"/>
    <w:rsid w:val="00A47960"/>
    <w:rsid w:val="00A51C7E"/>
    <w:rsid w:val="00A53246"/>
    <w:rsid w:val="00A5660D"/>
    <w:rsid w:val="00A56E03"/>
    <w:rsid w:val="00A665F2"/>
    <w:rsid w:val="00A71372"/>
    <w:rsid w:val="00A71CAE"/>
    <w:rsid w:val="00A7794E"/>
    <w:rsid w:val="00A80363"/>
    <w:rsid w:val="00A803F8"/>
    <w:rsid w:val="00A81C4A"/>
    <w:rsid w:val="00A82462"/>
    <w:rsid w:val="00A90AF9"/>
    <w:rsid w:val="00A9679F"/>
    <w:rsid w:val="00A9776F"/>
    <w:rsid w:val="00AA0CBF"/>
    <w:rsid w:val="00AA1CA8"/>
    <w:rsid w:val="00AA32B6"/>
    <w:rsid w:val="00AA5831"/>
    <w:rsid w:val="00AA5A63"/>
    <w:rsid w:val="00AA6C5A"/>
    <w:rsid w:val="00AA7049"/>
    <w:rsid w:val="00AA78B4"/>
    <w:rsid w:val="00AB134C"/>
    <w:rsid w:val="00AB6387"/>
    <w:rsid w:val="00AC4B4C"/>
    <w:rsid w:val="00AC585D"/>
    <w:rsid w:val="00AD0069"/>
    <w:rsid w:val="00AD0F14"/>
    <w:rsid w:val="00AD1386"/>
    <w:rsid w:val="00AE0D35"/>
    <w:rsid w:val="00AE1B9F"/>
    <w:rsid w:val="00AE34F1"/>
    <w:rsid w:val="00AE4886"/>
    <w:rsid w:val="00AE50E9"/>
    <w:rsid w:val="00AE5DEB"/>
    <w:rsid w:val="00AF0293"/>
    <w:rsid w:val="00AF1B3E"/>
    <w:rsid w:val="00AF3225"/>
    <w:rsid w:val="00AF5251"/>
    <w:rsid w:val="00B0034F"/>
    <w:rsid w:val="00B03C78"/>
    <w:rsid w:val="00B04F8D"/>
    <w:rsid w:val="00B05ACF"/>
    <w:rsid w:val="00B1278F"/>
    <w:rsid w:val="00B139AE"/>
    <w:rsid w:val="00B2660B"/>
    <w:rsid w:val="00B33FF5"/>
    <w:rsid w:val="00B34CC4"/>
    <w:rsid w:val="00B44CA0"/>
    <w:rsid w:val="00B46F94"/>
    <w:rsid w:val="00B47797"/>
    <w:rsid w:val="00B503E9"/>
    <w:rsid w:val="00B52E82"/>
    <w:rsid w:val="00B561D9"/>
    <w:rsid w:val="00B5776C"/>
    <w:rsid w:val="00B630F3"/>
    <w:rsid w:val="00B63526"/>
    <w:rsid w:val="00B63D3C"/>
    <w:rsid w:val="00B659E2"/>
    <w:rsid w:val="00B67DDA"/>
    <w:rsid w:val="00B71D44"/>
    <w:rsid w:val="00B7211F"/>
    <w:rsid w:val="00B722FF"/>
    <w:rsid w:val="00B7377F"/>
    <w:rsid w:val="00B804F3"/>
    <w:rsid w:val="00B83C2E"/>
    <w:rsid w:val="00B86855"/>
    <w:rsid w:val="00B872FE"/>
    <w:rsid w:val="00B949E2"/>
    <w:rsid w:val="00B94FF9"/>
    <w:rsid w:val="00B97920"/>
    <w:rsid w:val="00BA712A"/>
    <w:rsid w:val="00BB219F"/>
    <w:rsid w:val="00BB289B"/>
    <w:rsid w:val="00BB3212"/>
    <w:rsid w:val="00BB523B"/>
    <w:rsid w:val="00BB55BA"/>
    <w:rsid w:val="00BB61A7"/>
    <w:rsid w:val="00BB7AA4"/>
    <w:rsid w:val="00BC5EE7"/>
    <w:rsid w:val="00BD1139"/>
    <w:rsid w:val="00BD37FB"/>
    <w:rsid w:val="00BD3EF4"/>
    <w:rsid w:val="00BD632E"/>
    <w:rsid w:val="00BE2654"/>
    <w:rsid w:val="00BE3D0C"/>
    <w:rsid w:val="00BE67CE"/>
    <w:rsid w:val="00BE6E8A"/>
    <w:rsid w:val="00C0143D"/>
    <w:rsid w:val="00C01C2F"/>
    <w:rsid w:val="00C02270"/>
    <w:rsid w:val="00C029CE"/>
    <w:rsid w:val="00C04B2B"/>
    <w:rsid w:val="00C10FED"/>
    <w:rsid w:val="00C11FCF"/>
    <w:rsid w:val="00C15E9A"/>
    <w:rsid w:val="00C170D5"/>
    <w:rsid w:val="00C30072"/>
    <w:rsid w:val="00C32C13"/>
    <w:rsid w:val="00C32D41"/>
    <w:rsid w:val="00C33599"/>
    <w:rsid w:val="00C43D81"/>
    <w:rsid w:val="00C43EE1"/>
    <w:rsid w:val="00C44B74"/>
    <w:rsid w:val="00C475B5"/>
    <w:rsid w:val="00C55383"/>
    <w:rsid w:val="00C62ED1"/>
    <w:rsid w:val="00C63E8F"/>
    <w:rsid w:val="00C67143"/>
    <w:rsid w:val="00C70E1C"/>
    <w:rsid w:val="00C71081"/>
    <w:rsid w:val="00C83166"/>
    <w:rsid w:val="00C9267B"/>
    <w:rsid w:val="00C977FF"/>
    <w:rsid w:val="00C97C7A"/>
    <w:rsid w:val="00C97E01"/>
    <w:rsid w:val="00CA08C1"/>
    <w:rsid w:val="00CA6E51"/>
    <w:rsid w:val="00CB5480"/>
    <w:rsid w:val="00CB5ADB"/>
    <w:rsid w:val="00CB76F7"/>
    <w:rsid w:val="00CB780B"/>
    <w:rsid w:val="00CC1455"/>
    <w:rsid w:val="00CC3696"/>
    <w:rsid w:val="00CC37A4"/>
    <w:rsid w:val="00CC3B1B"/>
    <w:rsid w:val="00CC4B03"/>
    <w:rsid w:val="00CC6740"/>
    <w:rsid w:val="00CC749A"/>
    <w:rsid w:val="00CD0ECD"/>
    <w:rsid w:val="00CD45C6"/>
    <w:rsid w:val="00CD4D5A"/>
    <w:rsid w:val="00CD6981"/>
    <w:rsid w:val="00CD7429"/>
    <w:rsid w:val="00CE0B95"/>
    <w:rsid w:val="00CE1F39"/>
    <w:rsid w:val="00CE62C0"/>
    <w:rsid w:val="00CF124F"/>
    <w:rsid w:val="00CF341E"/>
    <w:rsid w:val="00CF3B15"/>
    <w:rsid w:val="00CF67F1"/>
    <w:rsid w:val="00CF6B37"/>
    <w:rsid w:val="00CF720C"/>
    <w:rsid w:val="00CF7419"/>
    <w:rsid w:val="00CF7AB6"/>
    <w:rsid w:val="00D040F9"/>
    <w:rsid w:val="00D045DA"/>
    <w:rsid w:val="00D06233"/>
    <w:rsid w:val="00D06DF7"/>
    <w:rsid w:val="00D14430"/>
    <w:rsid w:val="00D20BC2"/>
    <w:rsid w:val="00D211E6"/>
    <w:rsid w:val="00D22F16"/>
    <w:rsid w:val="00D25D6C"/>
    <w:rsid w:val="00D25DAA"/>
    <w:rsid w:val="00D300BB"/>
    <w:rsid w:val="00D310CF"/>
    <w:rsid w:val="00D31875"/>
    <w:rsid w:val="00D326A5"/>
    <w:rsid w:val="00D3589C"/>
    <w:rsid w:val="00D362F7"/>
    <w:rsid w:val="00D375AC"/>
    <w:rsid w:val="00D42FA9"/>
    <w:rsid w:val="00D434AE"/>
    <w:rsid w:val="00D455AB"/>
    <w:rsid w:val="00D46010"/>
    <w:rsid w:val="00D52ECE"/>
    <w:rsid w:val="00D56CA3"/>
    <w:rsid w:val="00D65693"/>
    <w:rsid w:val="00D66AE4"/>
    <w:rsid w:val="00D733AD"/>
    <w:rsid w:val="00D75F63"/>
    <w:rsid w:val="00D77A84"/>
    <w:rsid w:val="00D81BA3"/>
    <w:rsid w:val="00D82E04"/>
    <w:rsid w:val="00D83AAB"/>
    <w:rsid w:val="00D91851"/>
    <w:rsid w:val="00D9385E"/>
    <w:rsid w:val="00D939A8"/>
    <w:rsid w:val="00D939CD"/>
    <w:rsid w:val="00D9430E"/>
    <w:rsid w:val="00D960B3"/>
    <w:rsid w:val="00DA0755"/>
    <w:rsid w:val="00DA0C3D"/>
    <w:rsid w:val="00DA231E"/>
    <w:rsid w:val="00DA2FBF"/>
    <w:rsid w:val="00DA4D1D"/>
    <w:rsid w:val="00DA5986"/>
    <w:rsid w:val="00DA59F3"/>
    <w:rsid w:val="00DB55EF"/>
    <w:rsid w:val="00DC579A"/>
    <w:rsid w:val="00DC631A"/>
    <w:rsid w:val="00DC7040"/>
    <w:rsid w:val="00DD1909"/>
    <w:rsid w:val="00DD35E1"/>
    <w:rsid w:val="00DD3BFA"/>
    <w:rsid w:val="00DD40D1"/>
    <w:rsid w:val="00DD5BF5"/>
    <w:rsid w:val="00DD6994"/>
    <w:rsid w:val="00DE421B"/>
    <w:rsid w:val="00DE49D0"/>
    <w:rsid w:val="00DE5123"/>
    <w:rsid w:val="00DE553F"/>
    <w:rsid w:val="00DE76E8"/>
    <w:rsid w:val="00DF0144"/>
    <w:rsid w:val="00DF25B0"/>
    <w:rsid w:val="00DF37CD"/>
    <w:rsid w:val="00DF3C9E"/>
    <w:rsid w:val="00DF4E64"/>
    <w:rsid w:val="00E03AA6"/>
    <w:rsid w:val="00E0740A"/>
    <w:rsid w:val="00E07B2B"/>
    <w:rsid w:val="00E11A02"/>
    <w:rsid w:val="00E122C7"/>
    <w:rsid w:val="00E16657"/>
    <w:rsid w:val="00E21BE8"/>
    <w:rsid w:val="00E21E55"/>
    <w:rsid w:val="00E23F84"/>
    <w:rsid w:val="00E24F65"/>
    <w:rsid w:val="00E265B5"/>
    <w:rsid w:val="00E36151"/>
    <w:rsid w:val="00E36DB7"/>
    <w:rsid w:val="00E400EB"/>
    <w:rsid w:val="00E4201F"/>
    <w:rsid w:val="00E4388E"/>
    <w:rsid w:val="00E43E14"/>
    <w:rsid w:val="00E43F60"/>
    <w:rsid w:val="00E5047D"/>
    <w:rsid w:val="00E55AEE"/>
    <w:rsid w:val="00E567ED"/>
    <w:rsid w:val="00E613E7"/>
    <w:rsid w:val="00E64CC1"/>
    <w:rsid w:val="00E7568A"/>
    <w:rsid w:val="00E76D8B"/>
    <w:rsid w:val="00E82918"/>
    <w:rsid w:val="00E86753"/>
    <w:rsid w:val="00E912CB"/>
    <w:rsid w:val="00E9284C"/>
    <w:rsid w:val="00E96A33"/>
    <w:rsid w:val="00EA2770"/>
    <w:rsid w:val="00EB0A89"/>
    <w:rsid w:val="00EB658F"/>
    <w:rsid w:val="00EB79F8"/>
    <w:rsid w:val="00EC08E8"/>
    <w:rsid w:val="00EC148A"/>
    <w:rsid w:val="00ED0063"/>
    <w:rsid w:val="00ED1678"/>
    <w:rsid w:val="00ED2E22"/>
    <w:rsid w:val="00ED3772"/>
    <w:rsid w:val="00ED3CA6"/>
    <w:rsid w:val="00ED60E0"/>
    <w:rsid w:val="00EE1A75"/>
    <w:rsid w:val="00EE26B5"/>
    <w:rsid w:val="00EE428B"/>
    <w:rsid w:val="00EE4F5B"/>
    <w:rsid w:val="00EE7C4D"/>
    <w:rsid w:val="00EF00B4"/>
    <w:rsid w:val="00EF0BD7"/>
    <w:rsid w:val="00EF2AF1"/>
    <w:rsid w:val="00F00078"/>
    <w:rsid w:val="00F02B23"/>
    <w:rsid w:val="00F046A0"/>
    <w:rsid w:val="00F0496A"/>
    <w:rsid w:val="00F07CEF"/>
    <w:rsid w:val="00F12670"/>
    <w:rsid w:val="00F128E0"/>
    <w:rsid w:val="00F13051"/>
    <w:rsid w:val="00F135DC"/>
    <w:rsid w:val="00F17CD5"/>
    <w:rsid w:val="00F20E47"/>
    <w:rsid w:val="00F23079"/>
    <w:rsid w:val="00F232F4"/>
    <w:rsid w:val="00F23849"/>
    <w:rsid w:val="00F23C75"/>
    <w:rsid w:val="00F24545"/>
    <w:rsid w:val="00F33DFD"/>
    <w:rsid w:val="00F35BA3"/>
    <w:rsid w:val="00F360C6"/>
    <w:rsid w:val="00F440FB"/>
    <w:rsid w:val="00F540E5"/>
    <w:rsid w:val="00F5627B"/>
    <w:rsid w:val="00F63274"/>
    <w:rsid w:val="00F63C0F"/>
    <w:rsid w:val="00F63CC4"/>
    <w:rsid w:val="00F66084"/>
    <w:rsid w:val="00F70347"/>
    <w:rsid w:val="00F70A52"/>
    <w:rsid w:val="00F73177"/>
    <w:rsid w:val="00F73BB5"/>
    <w:rsid w:val="00F77724"/>
    <w:rsid w:val="00F77C14"/>
    <w:rsid w:val="00F80070"/>
    <w:rsid w:val="00F82643"/>
    <w:rsid w:val="00F90732"/>
    <w:rsid w:val="00F9091B"/>
    <w:rsid w:val="00F92E02"/>
    <w:rsid w:val="00F96ECC"/>
    <w:rsid w:val="00FA3F2D"/>
    <w:rsid w:val="00FB0430"/>
    <w:rsid w:val="00FB1941"/>
    <w:rsid w:val="00FC182B"/>
    <w:rsid w:val="00FC28FB"/>
    <w:rsid w:val="00FC5AC5"/>
    <w:rsid w:val="00FD01F0"/>
    <w:rsid w:val="00FD1097"/>
    <w:rsid w:val="00FD5018"/>
    <w:rsid w:val="00FD627E"/>
    <w:rsid w:val="00FE3FE0"/>
    <w:rsid w:val="00FE452A"/>
    <w:rsid w:val="00FE4A9D"/>
    <w:rsid w:val="00FE55DB"/>
    <w:rsid w:val="00FE58A7"/>
    <w:rsid w:val="00FE6B7D"/>
    <w:rsid w:val="00FE6F54"/>
    <w:rsid w:val="00FF0B53"/>
    <w:rsid w:val="00FF45E7"/>
    <w:rsid w:val="1C72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8A55B"/>
  <w15:chartTrackingRefBased/>
  <w15:docId w15:val="{D930DD7C-9939-4DB8-A2ED-FE08B0AF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customStyle="1" w:styleId="a4">
    <w:name w:val="页脚 字符"/>
    <w:link w:val="a5"/>
    <w:uiPriority w:val="99"/>
    <w:rPr>
      <w:kern w:val="2"/>
      <w:sz w:val="18"/>
      <w:szCs w:val="18"/>
    </w:rPr>
  </w:style>
  <w:style w:type="character" w:customStyle="1" w:styleId="a6">
    <w:name w:val="页眉 字符"/>
    <w:link w:val="a7"/>
    <w:rPr>
      <w:kern w:val="2"/>
      <w:sz w:val="18"/>
      <w:szCs w:val="18"/>
    </w:rPr>
  </w:style>
  <w:style w:type="paragraph" w:styleId="a5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75" w:lineRule="atLeast"/>
      <w:jc w:val="left"/>
    </w:pPr>
    <w:rPr>
      <w:rFonts w:ascii="Arial" w:hAnsi="Arial" w:cs="Arial"/>
      <w:kern w:val="0"/>
      <w:szCs w:val="21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F33D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3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6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4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839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7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358</Words>
  <Characters>2043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China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附件二、投资者关系活动记录表格式</dc:title>
  <dc:subject/>
  <dc:creator>User</dc:creator>
  <cp:keywords/>
  <cp:lastModifiedBy>KD</cp:lastModifiedBy>
  <cp:revision>10</cp:revision>
  <cp:lastPrinted>2015-07-16T00:33:00Z</cp:lastPrinted>
  <dcterms:created xsi:type="dcterms:W3CDTF">2019-06-11T06:37:00Z</dcterms:created>
  <dcterms:modified xsi:type="dcterms:W3CDTF">2019-06-11T09:47:00Z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