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firstLine="960"/>
        <w:rPr>
          <w:rFonts w:ascii="Times New Roman" w:hAnsi="Times New Roman"/>
          <w:bCs/>
          <w:iCs/>
          <w:sz w:val="24"/>
        </w:rPr>
      </w:pPr>
      <w:r>
        <w:rPr>
          <w:rFonts w:hint="default" w:ascii="Times New Roman" w:hAnsi="Times New Roman"/>
          <w:bCs/>
          <w:iCs/>
          <w:sz w:val="24"/>
        </w:rPr>
        <w:t>证券代码：002050                  证券简称：三花智控</w:t>
      </w:r>
    </w:p>
    <w:p>
      <w:pPr>
        <w:spacing w:line="400" w:lineRule="exact"/>
        <w:ind w:firstLine="960"/>
        <w:rPr>
          <w:rFonts w:ascii="Times New Roman" w:hAnsi="Times New Roman"/>
          <w:bCs/>
          <w:iCs/>
          <w:sz w:val="24"/>
        </w:rPr>
      </w:pPr>
    </w:p>
    <w:p>
      <w:pPr>
        <w:spacing w:line="400" w:lineRule="exact"/>
        <w:jc w:val="center"/>
        <w:rPr>
          <w:rFonts w:ascii="Times New Roman" w:hAnsi="Times New Roman"/>
          <w:b/>
          <w:bCs/>
          <w:iCs/>
          <w:sz w:val="32"/>
          <w:szCs w:val="32"/>
        </w:rPr>
      </w:pPr>
      <w:r>
        <w:rPr>
          <w:rFonts w:hint="default" w:ascii="Times New Roman" w:hAnsi="Times New Roman"/>
          <w:b/>
          <w:bCs/>
          <w:iCs/>
          <w:sz w:val="32"/>
          <w:szCs w:val="32"/>
        </w:rPr>
        <w:t>2019年</w:t>
      </w:r>
      <w:r>
        <w:rPr>
          <w:rFonts w:hint="eastAsia"/>
          <w:b/>
          <w:bCs/>
          <w:iCs/>
          <w:sz w:val="32"/>
          <w:szCs w:val="32"/>
          <w:lang w:val="en-US" w:eastAsia="zh-CN"/>
        </w:rPr>
        <w:t>6</w:t>
      </w:r>
      <w:r>
        <w:rPr>
          <w:rFonts w:hint="default" w:ascii="Times New Roman" w:hAnsi="Times New Roman"/>
          <w:b/>
          <w:bCs/>
          <w:iCs/>
          <w:sz w:val="32"/>
          <w:szCs w:val="32"/>
        </w:rPr>
        <w:t>月</w:t>
      </w:r>
      <w:r>
        <w:rPr>
          <w:rFonts w:hint="eastAsia"/>
          <w:b/>
          <w:bCs/>
          <w:iCs/>
          <w:sz w:val="32"/>
          <w:szCs w:val="32"/>
          <w:lang w:val="en-US" w:eastAsia="zh-CN"/>
        </w:rPr>
        <w:t>13</w:t>
      </w:r>
      <w:r>
        <w:rPr>
          <w:rFonts w:hint="default" w:ascii="Times New Roman" w:hAnsi="Times New Roman"/>
          <w:b/>
          <w:bCs/>
          <w:iCs/>
          <w:sz w:val="32"/>
          <w:szCs w:val="32"/>
        </w:rPr>
        <w:t>日投资者关系活动记录表</w:t>
      </w:r>
    </w:p>
    <w:p>
      <w:pPr>
        <w:spacing w:line="400" w:lineRule="exact"/>
        <w:rPr>
          <w:rFonts w:hint="default" w:ascii="Times New Roman" w:hAnsi="Times New Roman" w:eastAsia="宋体"/>
          <w:bCs/>
          <w:iCs/>
          <w:sz w:val="24"/>
          <w:lang w:val="en-US" w:eastAsia="zh-CN"/>
        </w:rPr>
      </w:pPr>
      <w:r>
        <w:rPr>
          <w:rFonts w:hint="default" w:ascii="Times New Roman" w:hAnsi="Times New Roman"/>
          <w:bCs/>
          <w:iCs/>
          <w:sz w:val="24"/>
        </w:rPr>
        <w:t xml:space="preserve">                                                      编号：201</w:t>
      </w:r>
      <w:r>
        <w:rPr>
          <w:rFonts w:hint="eastAsia"/>
          <w:bCs/>
          <w:iCs/>
          <w:sz w:val="24"/>
          <w:lang w:val="en-US" w:eastAsia="zh-CN"/>
        </w:rPr>
        <w:t>9</w:t>
      </w:r>
      <w:r>
        <w:rPr>
          <w:rFonts w:hint="default" w:ascii="Times New Roman" w:hAnsi="Times New Roman"/>
          <w:bCs/>
          <w:iCs/>
          <w:sz w:val="24"/>
        </w:rPr>
        <w:t>-0</w:t>
      </w:r>
      <w:r>
        <w:rPr>
          <w:rFonts w:hint="eastAsia"/>
          <w:bCs/>
          <w:iCs/>
          <w:sz w:val="24"/>
          <w:lang w:val="en-US" w:eastAsia="zh-CN"/>
        </w:rPr>
        <w:t>06</w:t>
      </w:r>
    </w:p>
    <w:tbl>
      <w:tblPr>
        <w:tblStyle w:val="8"/>
        <w:tblpPr w:leftFromText="180" w:rightFromText="180" w:vertAnchor="text" w:horzAnchor="page" w:tblpX="1755" w:tblpY="1228"/>
        <w:tblOverlap w:val="never"/>
        <w:tblW w:w="9564" w:type="dxa"/>
        <w:tblInd w:w="0" w:type="dxa"/>
        <w:tblLayout w:type="fixed"/>
        <w:tblCellMar>
          <w:top w:w="0" w:type="dxa"/>
          <w:left w:w="10" w:type="dxa"/>
          <w:bottom w:w="0" w:type="dxa"/>
          <w:right w:w="10" w:type="dxa"/>
        </w:tblCellMar>
      </w:tblPr>
      <w:tblGrid>
        <w:gridCol w:w="1809"/>
        <w:gridCol w:w="7755"/>
      </w:tblGrid>
      <w:tr>
        <w:tblPrEx>
          <w:tblLayout w:type="fixed"/>
          <w:tblCellMar>
            <w:top w:w="0" w:type="dxa"/>
            <w:left w:w="10" w:type="dxa"/>
            <w:bottom w:w="0" w:type="dxa"/>
            <w:right w:w="10" w:type="dxa"/>
          </w:tblCellMar>
        </w:tblPrEx>
        <w:trPr>
          <w:trHeight w:val="2525"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ascii="Times New Roman" w:hAnsi="Times New Roman"/>
                <w:b/>
                <w:bCs/>
                <w:iCs/>
                <w:sz w:val="24"/>
              </w:rPr>
            </w:pPr>
            <w:r>
              <w:rPr>
                <w:rFonts w:hint="default" w:ascii="Times New Roman" w:hAnsi="Times New Roman"/>
                <w:b/>
                <w:bCs/>
                <w:iCs/>
                <w:sz w:val="24"/>
              </w:rPr>
              <w:t>投资者关系活动类别</w:t>
            </w:r>
          </w:p>
          <w:p>
            <w:pPr>
              <w:spacing w:line="480" w:lineRule="atLeast"/>
              <w:rPr>
                <w:rFonts w:ascii="Times New Roman" w:hAnsi="Times New Roman"/>
                <w:b/>
                <w:bCs/>
                <w:iCs/>
                <w:sz w:val="24"/>
              </w:rPr>
            </w:pP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cs="Times New Roman"/>
                <w:szCs w:val="21"/>
              </w:rPr>
            </w:pPr>
            <w:r>
              <w:rPr>
                <w:rFonts w:hint="default" w:cs="Times New Roman"/>
                <w:szCs w:val="21"/>
              </w:rPr>
              <w:t>√特定对象调研        □分析师会议</w:t>
            </w:r>
          </w:p>
          <w:p>
            <w:pPr>
              <w:spacing w:line="480" w:lineRule="atLeast"/>
              <w:rPr>
                <w:rFonts w:cs="Times New Roman"/>
                <w:szCs w:val="21"/>
              </w:rPr>
            </w:pPr>
            <w:r>
              <w:rPr>
                <w:rFonts w:hint="default" w:cs="Times New Roman"/>
                <w:szCs w:val="21"/>
              </w:rPr>
              <w:t>□媒体采访            □业绩说明会</w:t>
            </w:r>
          </w:p>
          <w:p>
            <w:pPr>
              <w:spacing w:line="480" w:lineRule="atLeast"/>
              <w:rPr>
                <w:rFonts w:cs="Times New Roman"/>
                <w:szCs w:val="21"/>
              </w:rPr>
            </w:pPr>
            <w:r>
              <w:rPr>
                <w:rFonts w:hint="default" w:cs="Times New Roman"/>
                <w:szCs w:val="21"/>
              </w:rPr>
              <w:t>□新闻发布会          □路演活动</w:t>
            </w:r>
          </w:p>
          <w:p>
            <w:pPr>
              <w:spacing w:line="480" w:lineRule="atLeast"/>
              <w:rPr>
                <w:rFonts w:cs="Times New Roman"/>
                <w:szCs w:val="21"/>
              </w:rPr>
            </w:pPr>
            <w:r>
              <w:rPr>
                <w:rFonts w:hint="default" w:cs="Times New Roman"/>
                <w:szCs w:val="21"/>
              </w:rPr>
              <w:t>√现场参观</w:t>
            </w:r>
          </w:p>
          <w:p>
            <w:pPr>
              <w:spacing w:line="480" w:lineRule="atLeast"/>
              <w:rPr>
                <w:rFonts w:cs="Times New Roman"/>
                <w:szCs w:val="21"/>
              </w:rPr>
            </w:pPr>
            <w:r>
              <w:rPr>
                <w:rFonts w:hint="default" w:cs="Times New Roman"/>
                <w:szCs w:val="21"/>
              </w:rPr>
              <w:t>□其他（请文字说明其他活动内容）</w:t>
            </w:r>
          </w:p>
        </w:tc>
      </w:tr>
      <w:tr>
        <w:tblPrEx>
          <w:tblLayout w:type="fixed"/>
          <w:tblCellMar>
            <w:top w:w="0" w:type="dxa"/>
            <w:left w:w="10" w:type="dxa"/>
            <w:bottom w:w="0" w:type="dxa"/>
            <w:right w:w="10" w:type="dxa"/>
          </w:tblCellMar>
        </w:tblPrEx>
        <w:trPr>
          <w:trHeight w:val="956"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参与单位名称及人员姓名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00" w:lineRule="auto"/>
              <w:rPr>
                <w:rFonts w:hint="eastAsia"/>
                <w:lang w:val="en-US" w:eastAsia="zh-CN"/>
              </w:rPr>
            </w:pPr>
            <w:r>
              <w:rPr>
                <w:rFonts w:hint="eastAsia"/>
                <w:lang w:val="en-US" w:eastAsia="zh-CN"/>
              </w:rPr>
              <w:t>浙商证券 吴东炬</w:t>
            </w:r>
          </w:p>
          <w:p>
            <w:pPr>
              <w:spacing w:line="300" w:lineRule="auto"/>
              <w:rPr>
                <w:rFonts w:hint="eastAsia"/>
                <w:lang w:val="en-US" w:eastAsia="zh-CN"/>
              </w:rPr>
            </w:pPr>
            <w:r>
              <w:rPr>
                <w:rFonts w:hint="eastAsia"/>
                <w:lang w:val="en-US" w:eastAsia="zh-CN"/>
              </w:rPr>
              <w:t>新时代证券 孟可</w:t>
            </w:r>
          </w:p>
          <w:p>
            <w:pPr>
              <w:spacing w:line="300" w:lineRule="auto"/>
              <w:rPr>
                <w:rFonts w:hint="eastAsia"/>
                <w:lang w:val="en-US" w:eastAsia="zh-CN"/>
              </w:rPr>
            </w:pPr>
            <w:r>
              <w:rPr>
                <w:rFonts w:hint="eastAsia"/>
                <w:lang w:val="en-US" w:eastAsia="zh-CN"/>
              </w:rPr>
              <w:t xml:space="preserve">东兴基金 武浩                 </w:t>
            </w:r>
          </w:p>
        </w:tc>
      </w:tr>
      <w:tr>
        <w:tblPrEx>
          <w:tblLayout w:type="fixed"/>
          <w:tblCellMar>
            <w:top w:w="0" w:type="dxa"/>
            <w:left w:w="10" w:type="dxa"/>
            <w:bottom w:w="0" w:type="dxa"/>
            <w:right w:w="10" w:type="dxa"/>
          </w:tblCellMar>
        </w:tblPrEx>
        <w:trPr>
          <w:trHeight w:val="510"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时间</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hint="eastAsia" w:eastAsia="宋体" w:cs="Times New Roman"/>
                <w:szCs w:val="21"/>
                <w:lang w:val="en-US" w:eastAsia="zh-CN"/>
              </w:rPr>
            </w:pPr>
            <w:r>
              <w:rPr>
                <w:rFonts w:hint="default" w:cs="Times New Roman"/>
                <w:szCs w:val="21"/>
              </w:rPr>
              <w:t>201</w:t>
            </w:r>
            <w:r>
              <w:rPr>
                <w:rFonts w:hint="eastAsia" w:cs="Times New Roman"/>
                <w:szCs w:val="21"/>
                <w:lang w:val="en-US" w:eastAsia="zh-CN"/>
              </w:rPr>
              <w:t>9</w:t>
            </w:r>
            <w:r>
              <w:rPr>
                <w:rFonts w:hint="default" w:cs="Times New Roman"/>
                <w:szCs w:val="21"/>
              </w:rPr>
              <w:t>年</w:t>
            </w:r>
            <w:r>
              <w:rPr>
                <w:rFonts w:hint="eastAsia" w:cs="Times New Roman"/>
                <w:szCs w:val="21"/>
                <w:lang w:val="en-US" w:eastAsia="zh-CN"/>
              </w:rPr>
              <w:t>6月13日</w:t>
            </w:r>
          </w:p>
        </w:tc>
      </w:tr>
      <w:tr>
        <w:tblPrEx>
          <w:tblLayout w:type="fixed"/>
          <w:tblCellMar>
            <w:top w:w="0" w:type="dxa"/>
            <w:left w:w="10" w:type="dxa"/>
            <w:bottom w:w="0" w:type="dxa"/>
            <w:right w:w="10" w:type="dxa"/>
          </w:tblCellMar>
        </w:tblPrEx>
        <w:trPr>
          <w:trHeight w:val="510"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地点</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Cs/>
                <w:iCs/>
                <w:szCs w:val="21"/>
              </w:rPr>
            </w:pPr>
            <w:r>
              <w:rPr>
                <w:rFonts w:hint="default" w:ascii="Times New Roman" w:hAnsi="Times New Roman"/>
                <w:bCs/>
                <w:iCs/>
                <w:szCs w:val="21"/>
              </w:rPr>
              <w:t>浙江杭州</w:t>
            </w:r>
          </w:p>
        </w:tc>
      </w:tr>
      <w:tr>
        <w:tblPrEx>
          <w:tblLayout w:type="fixed"/>
          <w:tblCellMar>
            <w:top w:w="0" w:type="dxa"/>
            <w:left w:w="10" w:type="dxa"/>
            <w:bottom w:w="0" w:type="dxa"/>
            <w:right w:w="10" w:type="dxa"/>
          </w:tblCellMar>
        </w:tblPrEx>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line="480" w:lineRule="atLeast"/>
              <w:rPr>
                <w:rFonts w:ascii="Times New Roman" w:hAnsi="Times New Roman"/>
                <w:b/>
                <w:bCs/>
                <w:iCs/>
                <w:sz w:val="24"/>
              </w:rPr>
            </w:pPr>
            <w:r>
              <w:rPr>
                <w:rFonts w:hint="default" w:ascii="Times New Roman" w:hAnsi="Times New Roman"/>
                <w:b/>
                <w:bCs/>
                <w:iCs/>
                <w:sz w:val="24"/>
              </w:rPr>
              <w:t>上市公司接待人员姓名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240" w:line="480" w:lineRule="atLeast"/>
              <w:rPr>
                <w:rFonts w:hint="eastAsia" w:ascii="Times New Roman" w:hAnsi="Times New Roman" w:eastAsia="宋体"/>
                <w:bCs/>
                <w:iCs/>
                <w:szCs w:val="21"/>
                <w:lang w:val="en-US" w:eastAsia="zh-CN"/>
              </w:rPr>
            </w:pPr>
            <w:r>
              <w:rPr>
                <w:rFonts w:hint="default" w:ascii="Times New Roman" w:hAnsi="Times New Roman"/>
                <w:bCs/>
                <w:iCs/>
                <w:szCs w:val="21"/>
              </w:rPr>
              <w:t>陈汪杰</w:t>
            </w:r>
          </w:p>
        </w:tc>
      </w:tr>
      <w:tr>
        <w:tblPrEx>
          <w:tblLayout w:type="fixed"/>
          <w:tblCellMar>
            <w:top w:w="0" w:type="dxa"/>
            <w:left w:w="10" w:type="dxa"/>
            <w:bottom w:w="0" w:type="dxa"/>
            <w:right w:w="10" w:type="dxa"/>
          </w:tblCellMar>
        </w:tblPrEx>
        <w:trPr>
          <w:trHeight w:val="2821"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投资者关系活动主要内容介绍</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spacing w:line="360" w:lineRule="auto"/>
              <w:jc w:val="left"/>
              <w:rPr>
                <w:rFonts w:hint="eastAsia" w:cs="Times New Roman"/>
                <w:b/>
                <w:bCs/>
                <w:color w:val="000000" w:themeColor="text1"/>
                <w:kern w:val="0"/>
                <w:szCs w:val="21"/>
                <w:lang w:val="en-US" w:eastAsia="zh-CN"/>
                <w14:textFill>
                  <w14:solidFill>
                    <w14:schemeClr w14:val="tx1"/>
                  </w14:solidFill>
                </w14:textFill>
              </w:rPr>
            </w:pPr>
            <w:r>
              <w:rPr>
                <w:rFonts w:hint="default" w:cs="Times New Roman"/>
                <w:b/>
                <w:bCs/>
                <w:color w:val="000000" w:themeColor="text1"/>
                <w:kern w:val="0"/>
                <w:szCs w:val="21"/>
                <w:lang w:eastAsia="zh-CN"/>
                <w14:textFill>
                  <w14:solidFill>
                    <w14:schemeClr w14:val="tx1"/>
                  </w14:solidFill>
                </w14:textFill>
              </w:rPr>
              <w:t>问题</w:t>
            </w:r>
            <w:r>
              <w:rPr>
                <w:rFonts w:hint="eastAsia" w:cs="Times New Roman"/>
                <w:b/>
                <w:bCs/>
                <w:color w:val="000000" w:themeColor="text1"/>
                <w:kern w:val="0"/>
                <w:szCs w:val="21"/>
                <w:lang w:eastAsia="zh-CN"/>
                <w14:textFill>
                  <w14:solidFill>
                    <w14:schemeClr w14:val="tx1"/>
                  </w14:solidFill>
                </w14:textFill>
              </w:rPr>
              <w:t>一</w:t>
            </w:r>
            <w:r>
              <w:rPr>
                <w:rFonts w:hint="default" w:cs="Times New Roman"/>
                <w:b/>
                <w:bCs/>
                <w:color w:val="000000" w:themeColor="text1"/>
                <w:kern w:val="0"/>
                <w:szCs w:val="21"/>
                <w:lang w:eastAsia="zh-CN"/>
                <w14:textFill>
                  <w14:solidFill>
                    <w14:schemeClr w14:val="tx1"/>
                  </w14:solidFill>
                </w14:textFill>
              </w:rPr>
              <w:t>：</w:t>
            </w:r>
            <w:r>
              <w:rPr>
                <w:rFonts w:hint="eastAsia" w:cs="Times New Roman"/>
                <w:b/>
                <w:bCs/>
                <w:color w:val="000000" w:themeColor="text1"/>
                <w:kern w:val="0"/>
                <w:szCs w:val="21"/>
                <w:lang w:val="en-US" w:eastAsia="zh-CN"/>
                <w14:textFill>
                  <w14:solidFill>
                    <w14:schemeClr w14:val="tx1"/>
                  </w14:solidFill>
                </w14:textFill>
              </w:rPr>
              <w:t>中美贸易摩擦对公司的影响及公司的对策？</w:t>
            </w:r>
          </w:p>
          <w:p>
            <w:pPr>
              <w:widowControl/>
              <w:spacing w:line="360" w:lineRule="auto"/>
              <w:jc w:val="left"/>
              <w:rPr>
                <w:rFonts w:hint="eastAsia"/>
                <w:szCs w:val="21"/>
                <w:lang w:val="en-US" w:eastAsia="zh-CN"/>
              </w:rPr>
            </w:pPr>
            <w:r>
              <w:rPr>
                <w:rFonts w:hint="eastAsia" w:cs="Times New Roman"/>
                <w:szCs w:val="21"/>
                <w:lang w:val="en-US" w:eastAsia="zh-CN"/>
              </w:rPr>
              <w:t>答：2500亿清单下公司受关税影响产品经测算不到总营收的5%。通过与客户沟通，客户与我们进行了共同分担；从长期来看，公司将加速境外生产基地的布局，预计今年年底能基本完成向越南、墨西哥、美国等海外生产基地转移。</w:t>
            </w:r>
          </w:p>
          <w:p>
            <w:pPr>
              <w:spacing w:line="360" w:lineRule="auto"/>
              <w:rPr>
                <w:rFonts w:hint="eastAsia"/>
                <w:b/>
                <w:szCs w:val="21"/>
              </w:rPr>
            </w:pPr>
          </w:p>
          <w:p>
            <w:pPr>
              <w:spacing w:line="360" w:lineRule="auto"/>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pPr>
            <w:r>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t>问题二：公司越南生产基</w:t>
            </w:r>
            <w:bookmarkStart w:id="0" w:name="_GoBack"/>
            <w:bookmarkEnd w:id="0"/>
            <w:r>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t>地的进度如何？</w:t>
            </w:r>
          </w:p>
          <w:p>
            <w:pPr>
              <w:spacing w:line="360" w:lineRule="auto"/>
              <w:rPr>
                <w:rFonts w:hint="eastAsia" w:cs="Times New Roman" w:eastAsiaTheme="minorEastAsia"/>
                <w:color w:val="000000" w:themeColor="text1"/>
                <w:kern w:val="0"/>
                <w:szCs w:val="21"/>
                <w:lang w:val="en-US" w:eastAsia="zh-CN"/>
                <w14:textFill>
                  <w14:solidFill>
                    <w14:schemeClr w14:val="tx1"/>
                  </w14:solidFill>
                </w14:textFill>
              </w:rPr>
            </w:pPr>
            <w:r>
              <w:rPr>
                <w:rFonts w:hint="eastAsia" w:cs="Times New Roman" w:eastAsiaTheme="minorEastAsia"/>
                <w:color w:val="000000" w:themeColor="text1"/>
                <w:kern w:val="0"/>
                <w:szCs w:val="21"/>
                <w:lang w:val="en-US" w:eastAsia="zh-CN"/>
                <w14:textFill>
                  <w14:solidFill>
                    <w14:schemeClr w14:val="tx1"/>
                  </w14:solidFill>
                </w14:textFill>
              </w:rPr>
              <w:t>答：越南基地已开始生产，目前生产以制冷空调电器零部件为主。</w:t>
            </w:r>
          </w:p>
          <w:p>
            <w:pPr>
              <w:spacing w:line="480" w:lineRule="atLeast"/>
              <w:rPr>
                <w:b/>
                <w:szCs w:val="21"/>
              </w:rPr>
            </w:pPr>
            <w:r>
              <w:rPr>
                <w:b/>
                <w:szCs w:val="21"/>
              </w:rPr>
              <w:t>问题</w:t>
            </w:r>
            <w:r>
              <w:rPr>
                <w:rFonts w:hint="eastAsia"/>
                <w:b/>
                <w:szCs w:val="21"/>
                <w:lang w:eastAsia="zh-CN"/>
              </w:rPr>
              <w:t>三</w:t>
            </w:r>
            <w:r>
              <w:rPr>
                <w:b/>
                <w:szCs w:val="21"/>
              </w:rPr>
              <w:t>：</w:t>
            </w:r>
            <w:r>
              <w:rPr>
                <w:rFonts w:hint="eastAsia"/>
                <w:b/>
                <w:szCs w:val="21"/>
              </w:rPr>
              <w:t>公司如何控制原材料涨价对成本的影响？</w:t>
            </w:r>
          </w:p>
          <w:p>
            <w:pPr>
              <w:spacing w:line="480" w:lineRule="atLeast"/>
              <w:rPr>
                <w:rFonts w:eastAsiaTheme="minorEastAsia"/>
                <w:b/>
                <w:bCs/>
                <w:color w:val="000000" w:themeColor="text1"/>
                <w:kern w:val="0"/>
                <w:szCs w:val="21"/>
                <w14:textFill>
                  <w14:solidFill>
                    <w14:schemeClr w14:val="tx1"/>
                  </w14:solidFill>
                </w14:textFill>
              </w:rPr>
            </w:pPr>
            <w:r>
              <w:rPr>
                <w:szCs w:val="21"/>
              </w:rPr>
              <w:t>答</w:t>
            </w:r>
            <w:r>
              <w:rPr>
                <w:rFonts w:hint="eastAsia"/>
                <w:szCs w:val="21"/>
              </w:rPr>
              <w:t>：公司通过采用铜价联动的定价机制及对大宗原材料进行套期保值操作等来规避原材料波动风险。</w:t>
            </w:r>
          </w:p>
          <w:p>
            <w:pPr>
              <w:spacing w:line="360" w:lineRule="auto"/>
              <w:rPr>
                <w:rFonts w:hint="eastAsia" w:cs="Times New Roman" w:eastAsiaTheme="minorEastAsia"/>
                <w:color w:val="000000" w:themeColor="text1"/>
                <w:kern w:val="0"/>
                <w:szCs w:val="21"/>
                <w:lang w:val="en-US" w:eastAsia="zh-CN"/>
                <w14:textFill>
                  <w14:solidFill>
                    <w14:schemeClr w14:val="tx1"/>
                  </w14:solidFill>
                </w14:textFill>
              </w:rPr>
            </w:pPr>
          </w:p>
          <w:p>
            <w:pPr>
              <w:keepNext w:val="0"/>
              <w:keepLines w:val="0"/>
              <w:widowControl/>
              <w:numPr>
                <w:ilvl w:val="0"/>
                <w:numId w:val="0"/>
              </w:numPr>
              <w:suppressLineNumbers w:val="0"/>
              <w:wordWrap/>
              <w:spacing w:line="26" w:lineRule="atLeast"/>
              <w:ind w:leftChars="0"/>
              <w:jc w:val="left"/>
              <w:rPr>
                <w:rFonts w:hint="eastAsia" w:ascii="Helvetica" w:hAnsi="Helvetica" w:eastAsia="Helvetica" w:cs="Helvetica"/>
                <w:b/>
                <w:bCs/>
                <w:i w:val="0"/>
                <w:caps w:val="0"/>
                <w:color w:val="393939"/>
                <w:spacing w:val="0"/>
                <w:kern w:val="0"/>
                <w:sz w:val="21"/>
                <w:szCs w:val="21"/>
                <w:u w:val="none"/>
                <w:lang w:val="en-US" w:eastAsia="zh-CN" w:bidi="ar"/>
              </w:rPr>
            </w:pPr>
            <w:r>
              <w:rPr>
                <w:rFonts w:hint="eastAsia" w:cs="Times New Roman"/>
                <w:b/>
                <w:bCs/>
                <w:color w:val="000000" w:themeColor="text1"/>
                <w:kern w:val="0"/>
                <w:szCs w:val="21"/>
                <w:lang w:val="en-US" w:eastAsia="zh-CN"/>
                <w14:textFill>
                  <w14:solidFill>
                    <w14:schemeClr w14:val="tx1"/>
                  </w14:solidFill>
                </w14:textFill>
              </w:rPr>
              <w:t>问题四：公司对新能源车业务的展望如何？</w:t>
            </w:r>
          </w:p>
          <w:p>
            <w:pPr>
              <w:spacing w:line="480" w:lineRule="atLeast"/>
              <w:rPr>
                <w:rFonts w:hint="eastAsia" w:cs="Times New Roman" w:eastAsiaTheme="minorEastAsia"/>
                <w:color w:val="000000" w:themeColor="text1"/>
                <w:kern w:val="0"/>
                <w:szCs w:val="21"/>
                <w:lang w:val="en-US" w:eastAsia="zh-CN"/>
                <w14:textFill>
                  <w14:solidFill>
                    <w14:schemeClr w14:val="tx1"/>
                  </w14:solidFill>
                </w14:textFill>
              </w:rPr>
            </w:pPr>
            <w:r>
              <w:rPr>
                <w:rFonts w:hint="eastAsia" w:cs="Times New Roman" w:eastAsiaTheme="minorEastAsia"/>
                <w:color w:val="000000" w:themeColor="text1"/>
                <w:kern w:val="0"/>
                <w:szCs w:val="21"/>
                <w:lang w:val="en-US" w:eastAsia="zh-CN"/>
                <w14:textFill>
                  <w14:solidFill>
                    <w14:schemeClr w14:val="tx1"/>
                  </w14:solidFill>
                </w14:textFill>
              </w:rPr>
              <w:t>答：2018年来自新能源车业务占比汽车零部件的总收入的35%，预计今年新能源车业务能占比40%，2020年新能源车业务预计将超过传统车业务。</w:t>
            </w:r>
          </w:p>
          <w:p>
            <w:pPr>
              <w:spacing w:line="480" w:lineRule="atLeast"/>
              <w:rPr>
                <w:rFonts w:hint="eastAsia" w:cs="Times New Roman" w:eastAsiaTheme="minorEastAsia"/>
                <w:color w:val="000000" w:themeColor="text1"/>
                <w:kern w:val="0"/>
                <w:szCs w:val="21"/>
                <w:lang w:val="en-US" w:eastAsia="zh-CN"/>
                <w14:textFill>
                  <w14:solidFill>
                    <w14:schemeClr w14:val="tx1"/>
                  </w14:solidFill>
                </w14:textFill>
              </w:rPr>
            </w:pPr>
          </w:p>
          <w:p>
            <w:pPr>
              <w:spacing w:line="360" w:lineRule="auto"/>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pPr>
            <w:r>
              <w:rPr>
                <w:rFonts w:hint="eastAsia" w:asciiTheme="minorHAnsi" w:hAnsiTheme="minorEastAsia" w:eastAsiaTheme="minorEastAsia" w:cstheme="minorHAnsi"/>
                <w:b/>
                <w:bCs/>
                <w:color w:val="000000" w:themeColor="text1"/>
                <w:kern w:val="0"/>
                <w:szCs w:val="21"/>
                <w:lang w:val="en-US" w:eastAsia="zh-CN"/>
                <w14:textFill>
                  <w14:solidFill>
                    <w14:schemeClr w14:val="tx1"/>
                  </w14:solidFill>
                </w14:textFill>
              </w:rPr>
              <w:t>问题五：汽车行业增速在下滑，为什么公司汽车零部件业务能保持正向增长？</w:t>
            </w:r>
          </w:p>
          <w:p>
            <w:pPr>
              <w:spacing w:line="480" w:lineRule="atLeast"/>
              <w:rPr>
                <w:rFonts w:hint="default" w:cs="Times New Roman" w:eastAsiaTheme="minorEastAsia"/>
                <w:color w:val="000000" w:themeColor="text1"/>
                <w:kern w:val="0"/>
                <w:szCs w:val="21"/>
                <w:lang w:val="en-US" w:eastAsia="zh-CN"/>
                <w14:textFill>
                  <w14:solidFill>
                    <w14:schemeClr w14:val="tx1"/>
                  </w14:solidFill>
                </w14:textFill>
              </w:rPr>
            </w:pPr>
            <w:r>
              <w:rPr>
                <w:rFonts w:hint="eastAsia" w:cs="Times New Roman" w:eastAsiaTheme="minorEastAsia"/>
                <w:color w:val="000000" w:themeColor="text1"/>
                <w:kern w:val="0"/>
                <w:szCs w:val="21"/>
                <w:lang w:val="en-US" w:eastAsia="zh-CN"/>
                <w14:textFill>
                  <w14:solidFill>
                    <w14:schemeClr w14:val="tx1"/>
                  </w14:solidFill>
                </w14:textFill>
              </w:rPr>
              <w:t>答：公司传统车业务受到行业增速下滑的影响，基本与行业保持同步；新能源车业务整体增长趋势不变。今年一季度，新能源车业务收入同比去年增长超200%，来自主机厂端的订单依旧很饱满。</w:t>
            </w:r>
          </w:p>
          <w:p>
            <w:pPr>
              <w:spacing w:line="360" w:lineRule="auto"/>
              <w:rPr>
                <w:rFonts w:hint="default" w:cs="Times New Roman" w:eastAsiaTheme="minorEastAsia"/>
                <w:color w:val="000000" w:themeColor="text1"/>
                <w:kern w:val="0"/>
                <w:szCs w:val="21"/>
                <w:lang w:val="en-US" w:eastAsia="zh-CN"/>
                <w14:textFill>
                  <w14:solidFill>
                    <w14:schemeClr w14:val="tx1"/>
                  </w14:solidFill>
                </w14:textFill>
              </w:rPr>
            </w:pPr>
          </w:p>
          <w:p>
            <w:pPr>
              <w:widowControl/>
              <w:spacing w:line="360" w:lineRule="auto"/>
              <w:jc w:val="left"/>
              <w:rPr>
                <w:rFonts w:hint="default" w:cs="Times New Roman"/>
                <w:b/>
                <w:bCs/>
                <w:color w:val="000000" w:themeColor="text1"/>
                <w:kern w:val="0"/>
                <w:szCs w:val="21"/>
                <w:lang w:eastAsia="zh-CN"/>
                <w14:textFill>
                  <w14:solidFill>
                    <w14:schemeClr w14:val="tx1"/>
                  </w14:solidFill>
                </w14:textFill>
              </w:rPr>
            </w:pPr>
            <w:r>
              <w:rPr>
                <w:rFonts w:hint="default" w:cs="Times New Roman"/>
                <w:b/>
                <w:bCs/>
                <w:color w:val="000000" w:themeColor="text1"/>
                <w:kern w:val="0"/>
                <w:szCs w:val="21"/>
                <w:lang w:eastAsia="zh-CN"/>
                <w14:textFill>
                  <w14:solidFill>
                    <w14:schemeClr w14:val="tx1"/>
                  </w14:solidFill>
                </w14:textFill>
              </w:rPr>
              <w:t>问题</w:t>
            </w:r>
            <w:r>
              <w:rPr>
                <w:rFonts w:hint="eastAsia" w:cs="Times New Roman"/>
                <w:b/>
                <w:bCs/>
                <w:color w:val="000000" w:themeColor="text1"/>
                <w:kern w:val="0"/>
                <w:szCs w:val="21"/>
                <w:lang w:eastAsia="zh-CN"/>
                <w14:textFill>
                  <w14:solidFill>
                    <w14:schemeClr w14:val="tx1"/>
                  </w14:solidFill>
                </w14:textFill>
              </w:rPr>
              <w:t>六</w:t>
            </w:r>
            <w:r>
              <w:rPr>
                <w:rFonts w:hint="default" w:cs="Times New Roman"/>
                <w:b/>
                <w:bCs/>
                <w:color w:val="000000" w:themeColor="text1"/>
                <w:kern w:val="0"/>
                <w:szCs w:val="21"/>
                <w:lang w:eastAsia="zh-CN"/>
                <w14:textFill>
                  <w14:solidFill>
                    <w14:schemeClr w14:val="tx1"/>
                  </w14:solidFill>
                </w14:textFill>
              </w:rPr>
              <w:t>：</w:t>
            </w:r>
            <w:r>
              <w:rPr>
                <w:rFonts w:hint="eastAsia" w:cs="Times New Roman"/>
                <w:b/>
                <w:bCs/>
                <w:color w:val="000000" w:themeColor="text1"/>
                <w:kern w:val="0"/>
                <w:szCs w:val="21"/>
                <w:lang w:val="en-US" w:eastAsia="zh-CN"/>
                <w14:textFill>
                  <w14:solidFill>
                    <w14:schemeClr w14:val="tx1"/>
                  </w14:solidFill>
                </w14:textFill>
              </w:rPr>
              <w:t>三花汽零业务的竞争对手？以及较其他公司的优势？</w:t>
            </w:r>
          </w:p>
          <w:p>
            <w:pPr>
              <w:spacing w:line="360" w:lineRule="auto"/>
              <w:rPr>
                <w:rFonts w:hint="eastAsia"/>
                <w:szCs w:val="21"/>
                <w:lang w:val="en-US" w:eastAsia="zh-CN"/>
              </w:rPr>
            </w:pPr>
            <w:r>
              <w:rPr>
                <w:rFonts w:hint="default"/>
                <w:szCs w:val="21"/>
                <w:lang w:val="en-US" w:eastAsia="zh-CN"/>
              </w:rPr>
              <w:t>答：</w:t>
            </w:r>
            <w:r>
              <w:rPr>
                <w:rFonts w:hint="eastAsia"/>
                <w:szCs w:val="21"/>
                <w:lang w:val="en-US" w:eastAsia="zh-CN"/>
              </w:rPr>
              <w:t>公司的产品覆盖了阀、泵、热交换等三大类部件，公司能够提供的热管理部件非常全面，其他竞争对手目前都没有这么全的热管理产品品类。三花在建筑节能热管理领域深耕30年，有稳定、专业的管理和研发团队，并且积累的技术专利与汽零业务有协同效应，因此我司汽零业务具有天然的优势。</w:t>
            </w:r>
          </w:p>
          <w:p>
            <w:pPr>
              <w:spacing w:line="360" w:lineRule="auto"/>
              <w:rPr>
                <w:rFonts w:hint="default" w:eastAsia="宋体" w:cs="Times New Roman"/>
                <w:color w:val="000000" w:themeColor="text1"/>
                <w:kern w:val="0"/>
                <w:szCs w:val="21"/>
                <w:lang w:val="en-US" w:eastAsia="zh-CN"/>
                <w14:textFill>
                  <w14:solidFill>
                    <w14:schemeClr w14:val="tx1"/>
                  </w14:solidFill>
                </w14:textFill>
              </w:rPr>
            </w:pPr>
          </w:p>
          <w:p>
            <w:pPr>
              <w:widowControl/>
              <w:spacing w:line="360" w:lineRule="auto"/>
              <w:jc w:val="left"/>
              <w:rPr>
                <w:rFonts w:hint="eastAsia" w:cs="Times New Roman"/>
                <w:b/>
                <w:bCs/>
                <w:color w:val="000000" w:themeColor="text1"/>
                <w:kern w:val="0"/>
                <w:szCs w:val="21"/>
                <w:lang w:val="en-US" w:eastAsia="zh-CN"/>
                <w14:textFill>
                  <w14:solidFill>
                    <w14:schemeClr w14:val="tx1"/>
                  </w14:solidFill>
                </w14:textFill>
              </w:rPr>
            </w:pPr>
            <w:r>
              <w:rPr>
                <w:rFonts w:hint="eastAsia" w:cs="Times New Roman"/>
                <w:b/>
                <w:bCs/>
                <w:color w:val="000000" w:themeColor="text1"/>
                <w:kern w:val="0"/>
                <w:szCs w:val="21"/>
                <w:lang w:val="en-US" w:eastAsia="zh-CN"/>
                <w14:textFill>
                  <w14:solidFill>
                    <w14:schemeClr w14:val="tx1"/>
                  </w14:solidFill>
                </w14:textFill>
              </w:rPr>
              <w:t>问题七：公司对新能源车业务的规划？</w:t>
            </w:r>
          </w:p>
          <w:p>
            <w:pPr>
              <w:spacing w:line="360" w:lineRule="auto"/>
              <w:rPr>
                <w:rFonts w:hint="default" w:eastAsia="宋体" w:cs="Times New Roman"/>
                <w:color w:val="000000" w:themeColor="text1"/>
                <w:kern w:val="0"/>
                <w:szCs w:val="21"/>
                <w:lang w:val="en-US" w:eastAsia="zh-CN"/>
                <w14:textFill>
                  <w14:solidFill>
                    <w14:schemeClr w14:val="tx1"/>
                  </w14:solidFill>
                </w14:textFill>
              </w:rPr>
            </w:pPr>
            <w:r>
              <w:rPr>
                <w:rFonts w:hint="eastAsia" w:cs="Times New Roman"/>
                <w:color w:val="000000" w:themeColor="text1"/>
                <w:kern w:val="0"/>
                <w:szCs w:val="21"/>
                <w:lang w:val="en-US" w:eastAsia="zh-CN"/>
                <w14:textFill>
                  <w14:solidFill>
                    <w14:schemeClr w14:val="tx1"/>
                  </w14:solidFill>
                </w14:textFill>
              </w:rPr>
              <w:t>答：公司新能源车热管理业务细分电池热管理、电机热管理、电子设备热管理及乘坐空间热管理，公司继续深入热管理领域的场景应用研发与拓展，不断提升公司在行业的竞争力。</w:t>
            </w:r>
          </w:p>
          <w:p>
            <w:pPr>
              <w:spacing w:line="360" w:lineRule="auto"/>
              <w:rPr>
                <w:rFonts w:hint="eastAsia" w:cs="Times New Roman"/>
                <w:color w:val="000000" w:themeColor="text1"/>
                <w:kern w:val="0"/>
                <w:szCs w:val="21"/>
                <w:lang w:eastAsia="zh-CN"/>
                <w14:textFill>
                  <w14:solidFill>
                    <w14:schemeClr w14:val="tx1"/>
                  </w14:solidFill>
                </w14:textFill>
              </w:rPr>
            </w:pPr>
          </w:p>
          <w:p>
            <w:pPr>
              <w:spacing w:line="360" w:lineRule="auto"/>
              <w:rPr>
                <w:rFonts w:hint="eastAsia" w:cs="Times New Roman"/>
                <w:color w:val="000000" w:themeColor="text1"/>
                <w:kern w:val="0"/>
                <w:szCs w:val="21"/>
                <w:lang w:eastAsia="zh-CN"/>
                <w14:textFill>
                  <w14:solidFill>
                    <w14:schemeClr w14:val="tx1"/>
                  </w14:solidFill>
                </w14:textFill>
              </w:rPr>
            </w:pPr>
            <w:r>
              <w:rPr>
                <w:rFonts w:hint="eastAsia" w:cs="Times New Roman"/>
                <w:b/>
                <w:bCs/>
                <w:color w:val="000000" w:themeColor="text1"/>
                <w:kern w:val="0"/>
                <w:szCs w:val="21"/>
                <w:lang w:val="en-US" w:eastAsia="zh-CN"/>
                <w14:textFill>
                  <w14:solidFill>
                    <w14:schemeClr w14:val="tx1"/>
                  </w14:solidFill>
                </w14:textFill>
              </w:rPr>
              <w:t>问题八：亚威科业务情况和未来规划？</w:t>
            </w:r>
            <w:r>
              <w:rPr>
                <w:rFonts w:hint="eastAsia" w:cs="Times New Roman"/>
                <w:b/>
                <w:bCs/>
                <w:color w:val="000000" w:themeColor="text1"/>
                <w:kern w:val="0"/>
                <w:szCs w:val="21"/>
                <w:lang w:val="en-US" w:eastAsia="zh-CN"/>
                <w14:textFill>
                  <w14:solidFill>
                    <w14:schemeClr w14:val="tx1"/>
                  </w14:solidFill>
                </w14:textFill>
              </w:rPr>
              <w:br w:type="textWrapping"/>
            </w:r>
            <w:r>
              <w:rPr>
                <w:rFonts w:hint="eastAsia" w:cs="Times New Roman"/>
                <w:color w:val="000000" w:themeColor="text1"/>
                <w:kern w:val="0"/>
                <w:szCs w:val="21"/>
                <w:lang w:val="en-US" w:eastAsia="zh-CN"/>
                <w14:textFill>
                  <w14:solidFill>
                    <w14:schemeClr w14:val="tx1"/>
                  </w14:solidFill>
                </w14:textFill>
              </w:rPr>
              <w:t>答：亚威科洗碗机、咖啡机、洗衣机之元器件业务，主要产品为洗碗机的部件，客户主要在海外，如博士西门子、伊莱克斯、惠而浦等欧美企业。亏损原因主要是海外供应链及人工成本高等导致毛利率偏低，目前亚威科在杭州成立了研发中心，研究供应链国产化，从本质上提升毛利率。</w:t>
            </w:r>
          </w:p>
        </w:tc>
      </w:tr>
      <w:tr>
        <w:tblPrEx>
          <w:tblLayout w:type="fixed"/>
          <w:tblCellMar>
            <w:top w:w="0" w:type="dxa"/>
            <w:left w:w="10" w:type="dxa"/>
            <w:bottom w:w="0" w:type="dxa"/>
            <w:right w:w="10" w:type="dxa"/>
          </w:tblCellMar>
        </w:tblPrEx>
        <w:trPr>
          <w:trHeight w:val="845"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80" w:lineRule="atLeast"/>
              <w:rPr>
                <w:rFonts w:ascii="Times New Roman" w:hAnsi="Times New Roman"/>
                <w:b/>
                <w:bCs/>
                <w:iCs/>
                <w:sz w:val="24"/>
              </w:rPr>
            </w:pPr>
            <w:r>
              <w:rPr>
                <w:rFonts w:hint="default" w:ascii="Times New Roman" w:hAnsi="Times New Roman"/>
                <w:b/>
                <w:bCs/>
                <w:iCs/>
                <w:sz w:val="24"/>
              </w:rPr>
              <w:t>附件清单</w:t>
            </w:r>
          </w:p>
          <w:p>
            <w:pPr>
              <w:spacing w:line="480" w:lineRule="atLeast"/>
              <w:rPr>
                <w:rFonts w:ascii="Times New Roman" w:hAnsi="Times New Roman"/>
                <w:b/>
                <w:bCs/>
                <w:iCs/>
                <w:sz w:val="24"/>
              </w:rPr>
            </w:pPr>
            <w:r>
              <w:rPr>
                <w:rFonts w:hint="default" w:ascii="Times New Roman" w:hAnsi="Times New Roman"/>
                <w:b/>
                <w:bCs/>
                <w:iCs/>
                <w:sz w:val="24"/>
              </w:rPr>
              <w:t>（如有）</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after="240" w:line="480" w:lineRule="atLeast"/>
              <w:rPr>
                <w:rFonts w:ascii="Times New Roman" w:hAnsi="Times New Roman" w:cs="Times New Roman"/>
                <w:szCs w:val="21"/>
              </w:rPr>
            </w:pPr>
            <w:r>
              <w:rPr>
                <w:rFonts w:hint="default" w:ascii="Times New Roman" w:hAnsi="Times New Roman"/>
                <w:bCs/>
                <w:iCs/>
                <w:szCs w:val="21"/>
              </w:rPr>
              <w:t>无</w:t>
            </w:r>
          </w:p>
        </w:tc>
      </w:tr>
      <w:tr>
        <w:tblPrEx>
          <w:tblLayout w:type="fixed"/>
          <w:tblCellMar>
            <w:top w:w="0" w:type="dxa"/>
            <w:left w:w="10" w:type="dxa"/>
            <w:bottom w:w="0" w:type="dxa"/>
            <w:right w:w="10" w:type="dxa"/>
          </w:tblCellMar>
        </w:tblPrEx>
        <w:trPr>
          <w:trHeight w:val="510" w:hRule="atLeast"/>
        </w:trPr>
        <w:tc>
          <w:tcPr>
            <w:tcW w:w="18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Times New Roman" w:hAnsi="Times New Roman"/>
                <w:b/>
                <w:bCs/>
                <w:iCs/>
                <w:sz w:val="24"/>
              </w:rPr>
            </w:pPr>
            <w:r>
              <w:rPr>
                <w:rFonts w:hint="default" w:ascii="Times New Roman" w:hAnsi="Times New Roman"/>
                <w:b/>
                <w:bCs/>
                <w:iCs/>
                <w:sz w:val="24"/>
              </w:rPr>
              <w:t>日期</w:t>
            </w:r>
          </w:p>
        </w:tc>
        <w:tc>
          <w:tcPr>
            <w:tcW w:w="77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453"/>
              </w:tabs>
              <w:rPr>
                <w:rFonts w:ascii="Times New Roman" w:hAnsi="Times New Roman" w:cs="Times New Roman"/>
                <w:szCs w:val="21"/>
              </w:rPr>
            </w:pPr>
            <w:r>
              <w:rPr>
                <w:rFonts w:hint="default" w:cs="Times New Roman"/>
                <w:szCs w:val="21"/>
              </w:rPr>
              <w:t>201</w:t>
            </w:r>
            <w:r>
              <w:rPr>
                <w:rFonts w:hint="eastAsia" w:cs="Times New Roman"/>
                <w:szCs w:val="21"/>
                <w:lang w:val="en-US" w:eastAsia="zh-CN"/>
              </w:rPr>
              <w:t>9</w:t>
            </w:r>
            <w:r>
              <w:rPr>
                <w:rFonts w:hint="default" w:cs="Times New Roman"/>
                <w:szCs w:val="21"/>
              </w:rPr>
              <w:t>年</w:t>
            </w:r>
            <w:r>
              <w:rPr>
                <w:rFonts w:hint="eastAsia" w:cs="Times New Roman"/>
                <w:szCs w:val="21"/>
                <w:lang w:val="en-US" w:eastAsia="zh-CN"/>
              </w:rPr>
              <w:t>6月13日</w:t>
            </w:r>
          </w:p>
        </w:tc>
      </w:tr>
    </w:tbl>
    <w:p>
      <w:pPr>
        <w:rPr>
          <w:rFonts w:hint="eastAsia" w:eastAsia="宋体" w:cs="Times New Roman"/>
          <w:sz w:val="23"/>
          <w:szCs w:val="21"/>
          <w:lang w:eastAsia="zh-CN"/>
        </w:rPr>
      </w:pPr>
    </w:p>
    <w:sectPr>
      <w:endnotePr>
        <w:numFmt w:val="decimal"/>
      </w:endnote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doNotCompress"/>
  <w:endnotePr>
    <w:numFmt w:val="decimal"/>
  </w:endnotePr>
  <w:compat>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04"/>
    <w:rsid w:val="000009B5"/>
    <w:rsid w:val="00000CBD"/>
    <w:rsid w:val="00020946"/>
    <w:rsid w:val="0002557B"/>
    <w:rsid w:val="00043A35"/>
    <w:rsid w:val="000524BF"/>
    <w:rsid w:val="00055EEA"/>
    <w:rsid w:val="000573F9"/>
    <w:rsid w:val="00094B8D"/>
    <w:rsid w:val="000A5600"/>
    <w:rsid w:val="000C7B98"/>
    <w:rsid w:val="000F2AB0"/>
    <w:rsid w:val="000F31E6"/>
    <w:rsid w:val="001139E6"/>
    <w:rsid w:val="00117CB6"/>
    <w:rsid w:val="001335A2"/>
    <w:rsid w:val="00175A9D"/>
    <w:rsid w:val="001965C9"/>
    <w:rsid w:val="00197CAC"/>
    <w:rsid w:val="001A4F2C"/>
    <w:rsid w:val="001A6C2A"/>
    <w:rsid w:val="001B6178"/>
    <w:rsid w:val="001D69B6"/>
    <w:rsid w:val="001F3CB1"/>
    <w:rsid w:val="00211DD6"/>
    <w:rsid w:val="002211A3"/>
    <w:rsid w:val="00221DE5"/>
    <w:rsid w:val="00225CD5"/>
    <w:rsid w:val="00240D28"/>
    <w:rsid w:val="002418B0"/>
    <w:rsid w:val="00246448"/>
    <w:rsid w:val="00256215"/>
    <w:rsid w:val="002611C3"/>
    <w:rsid w:val="002843D2"/>
    <w:rsid w:val="00294900"/>
    <w:rsid w:val="00297C0A"/>
    <w:rsid w:val="002A7656"/>
    <w:rsid w:val="002C55E5"/>
    <w:rsid w:val="002D2DB4"/>
    <w:rsid w:val="002D5204"/>
    <w:rsid w:val="002E65DF"/>
    <w:rsid w:val="002E69B6"/>
    <w:rsid w:val="002F0231"/>
    <w:rsid w:val="003047E8"/>
    <w:rsid w:val="00305194"/>
    <w:rsid w:val="0031237C"/>
    <w:rsid w:val="00316C7B"/>
    <w:rsid w:val="0032116C"/>
    <w:rsid w:val="003278F8"/>
    <w:rsid w:val="00342464"/>
    <w:rsid w:val="00346A48"/>
    <w:rsid w:val="00366091"/>
    <w:rsid w:val="00377489"/>
    <w:rsid w:val="0039260D"/>
    <w:rsid w:val="00393B21"/>
    <w:rsid w:val="003A4F7B"/>
    <w:rsid w:val="00415AB8"/>
    <w:rsid w:val="00443A07"/>
    <w:rsid w:val="004532A2"/>
    <w:rsid w:val="00457E0B"/>
    <w:rsid w:val="00460F88"/>
    <w:rsid w:val="00472EA2"/>
    <w:rsid w:val="0048182D"/>
    <w:rsid w:val="00484671"/>
    <w:rsid w:val="00486AB8"/>
    <w:rsid w:val="004901C0"/>
    <w:rsid w:val="004A2589"/>
    <w:rsid w:val="004A2E6A"/>
    <w:rsid w:val="004B2BC5"/>
    <w:rsid w:val="004B5AAB"/>
    <w:rsid w:val="004C3FEF"/>
    <w:rsid w:val="004D260A"/>
    <w:rsid w:val="004D6A79"/>
    <w:rsid w:val="00501F53"/>
    <w:rsid w:val="005065B1"/>
    <w:rsid w:val="00522185"/>
    <w:rsid w:val="00522898"/>
    <w:rsid w:val="005403EA"/>
    <w:rsid w:val="005470A8"/>
    <w:rsid w:val="005553C6"/>
    <w:rsid w:val="005752CE"/>
    <w:rsid w:val="0058196A"/>
    <w:rsid w:val="005E0E0C"/>
    <w:rsid w:val="005E17EA"/>
    <w:rsid w:val="005E5E9E"/>
    <w:rsid w:val="005E783F"/>
    <w:rsid w:val="0060656B"/>
    <w:rsid w:val="0063648E"/>
    <w:rsid w:val="00645AA3"/>
    <w:rsid w:val="0066040C"/>
    <w:rsid w:val="00664392"/>
    <w:rsid w:val="00667FDE"/>
    <w:rsid w:val="00674D61"/>
    <w:rsid w:val="00694AB1"/>
    <w:rsid w:val="006C2C35"/>
    <w:rsid w:val="006D27D3"/>
    <w:rsid w:val="006E1CD7"/>
    <w:rsid w:val="006F3026"/>
    <w:rsid w:val="006F333E"/>
    <w:rsid w:val="007744E6"/>
    <w:rsid w:val="00793512"/>
    <w:rsid w:val="007A2604"/>
    <w:rsid w:val="007B2F1F"/>
    <w:rsid w:val="007C2826"/>
    <w:rsid w:val="007E7B39"/>
    <w:rsid w:val="008025A9"/>
    <w:rsid w:val="00805CCB"/>
    <w:rsid w:val="00814B9E"/>
    <w:rsid w:val="008238A4"/>
    <w:rsid w:val="00825DA9"/>
    <w:rsid w:val="00834366"/>
    <w:rsid w:val="00836AA2"/>
    <w:rsid w:val="00843456"/>
    <w:rsid w:val="008619D3"/>
    <w:rsid w:val="00880DDF"/>
    <w:rsid w:val="00882817"/>
    <w:rsid w:val="00893A63"/>
    <w:rsid w:val="008B38B5"/>
    <w:rsid w:val="008E265D"/>
    <w:rsid w:val="00905A80"/>
    <w:rsid w:val="0090708A"/>
    <w:rsid w:val="009103D5"/>
    <w:rsid w:val="00926354"/>
    <w:rsid w:val="009915CD"/>
    <w:rsid w:val="00992B99"/>
    <w:rsid w:val="009A0399"/>
    <w:rsid w:val="009C4501"/>
    <w:rsid w:val="009D58FE"/>
    <w:rsid w:val="009E77DC"/>
    <w:rsid w:val="009F1B4F"/>
    <w:rsid w:val="00A0264C"/>
    <w:rsid w:val="00A02CA1"/>
    <w:rsid w:val="00A07E79"/>
    <w:rsid w:val="00A15408"/>
    <w:rsid w:val="00A15533"/>
    <w:rsid w:val="00A319A7"/>
    <w:rsid w:val="00A34373"/>
    <w:rsid w:val="00A428A9"/>
    <w:rsid w:val="00A618B0"/>
    <w:rsid w:val="00A710AB"/>
    <w:rsid w:val="00A7358F"/>
    <w:rsid w:val="00A76DA8"/>
    <w:rsid w:val="00A806C1"/>
    <w:rsid w:val="00A81CC4"/>
    <w:rsid w:val="00A86D9F"/>
    <w:rsid w:val="00A91B4E"/>
    <w:rsid w:val="00AA44BB"/>
    <w:rsid w:val="00AA5DF3"/>
    <w:rsid w:val="00AC54B1"/>
    <w:rsid w:val="00AD6BFE"/>
    <w:rsid w:val="00AE0AB4"/>
    <w:rsid w:val="00AE216E"/>
    <w:rsid w:val="00AF0DCE"/>
    <w:rsid w:val="00B10A72"/>
    <w:rsid w:val="00B12391"/>
    <w:rsid w:val="00B202B6"/>
    <w:rsid w:val="00B20D79"/>
    <w:rsid w:val="00B46375"/>
    <w:rsid w:val="00B46EB0"/>
    <w:rsid w:val="00B6410F"/>
    <w:rsid w:val="00B64F0B"/>
    <w:rsid w:val="00B66693"/>
    <w:rsid w:val="00B74561"/>
    <w:rsid w:val="00B82CF7"/>
    <w:rsid w:val="00B96175"/>
    <w:rsid w:val="00BA3554"/>
    <w:rsid w:val="00BE2922"/>
    <w:rsid w:val="00C3061E"/>
    <w:rsid w:val="00C46433"/>
    <w:rsid w:val="00C523F1"/>
    <w:rsid w:val="00C63C55"/>
    <w:rsid w:val="00CA6260"/>
    <w:rsid w:val="00CF1307"/>
    <w:rsid w:val="00CF6D9C"/>
    <w:rsid w:val="00D027CF"/>
    <w:rsid w:val="00D212FC"/>
    <w:rsid w:val="00D232A1"/>
    <w:rsid w:val="00D34A0A"/>
    <w:rsid w:val="00D547E0"/>
    <w:rsid w:val="00D717AE"/>
    <w:rsid w:val="00D80ABC"/>
    <w:rsid w:val="00DA19ED"/>
    <w:rsid w:val="00DA4626"/>
    <w:rsid w:val="00DB50F9"/>
    <w:rsid w:val="00DD0A37"/>
    <w:rsid w:val="00DD6221"/>
    <w:rsid w:val="00DE6245"/>
    <w:rsid w:val="00DF11AD"/>
    <w:rsid w:val="00DF47E0"/>
    <w:rsid w:val="00E0502A"/>
    <w:rsid w:val="00E50A84"/>
    <w:rsid w:val="00E60519"/>
    <w:rsid w:val="00E61DD7"/>
    <w:rsid w:val="00E71EA5"/>
    <w:rsid w:val="00E83A62"/>
    <w:rsid w:val="00EC517C"/>
    <w:rsid w:val="00F13F38"/>
    <w:rsid w:val="00F26E54"/>
    <w:rsid w:val="00F30FCE"/>
    <w:rsid w:val="00F41BDE"/>
    <w:rsid w:val="00F420E6"/>
    <w:rsid w:val="00F57AD2"/>
    <w:rsid w:val="00F7398B"/>
    <w:rsid w:val="00F83333"/>
    <w:rsid w:val="00F920D5"/>
    <w:rsid w:val="00FB34E3"/>
    <w:rsid w:val="00FB4E79"/>
    <w:rsid w:val="00FC2789"/>
    <w:rsid w:val="00FD41EE"/>
    <w:rsid w:val="00FE14DE"/>
    <w:rsid w:val="017E3459"/>
    <w:rsid w:val="01D82B1E"/>
    <w:rsid w:val="021877AF"/>
    <w:rsid w:val="038C616D"/>
    <w:rsid w:val="051212BD"/>
    <w:rsid w:val="0594295F"/>
    <w:rsid w:val="059A0EFA"/>
    <w:rsid w:val="05FD2BBE"/>
    <w:rsid w:val="061F0736"/>
    <w:rsid w:val="06D84E14"/>
    <w:rsid w:val="092C6F2D"/>
    <w:rsid w:val="0C5C247A"/>
    <w:rsid w:val="0D10267C"/>
    <w:rsid w:val="0DD90265"/>
    <w:rsid w:val="0E3C1C58"/>
    <w:rsid w:val="109E33B9"/>
    <w:rsid w:val="10B772E7"/>
    <w:rsid w:val="1138409E"/>
    <w:rsid w:val="11A77DBF"/>
    <w:rsid w:val="14180674"/>
    <w:rsid w:val="16796CFF"/>
    <w:rsid w:val="17A03077"/>
    <w:rsid w:val="17A8245C"/>
    <w:rsid w:val="19ED58B8"/>
    <w:rsid w:val="1A0239D5"/>
    <w:rsid w:val="1B311821"/>
    <w:rsid w:val="1C396E2E"/>
    <w:rsid w:val="1CC14FF4"/>
    <w:rsid w:val="1DB774CD"/>
    <w:rsid w:val="1DC519BC"/>
    <w:rsid w:val="1E457D4F"/>
    <w:rsid w:val="204E10E4"/>
    <w:rsid w:val="20A0158D"/>
    <w:rsid w:val="21B25180"/>
    <w:rsid w:val="21FE3D48"/>
    <w:rsid w:val="25591B09"/>
    <w:rsid w:val="25DA3F73"/>
    <w:rsid w:val="288E4854"/>
    <w:rsid w:val="2A647215"/>
    <w:rsid w:val="2ACF4CE2"/>
    <w:rsid w:val="2B504DBF"/>
    <w:rsid w:val="2B927A8A"/>
    <w:rsid w:val="2BEA45B4"/>
    <w:rsid w:val="2CE80B8A"/>
    <w:rsid w:val="2D1B6498"/>
    <w:rsid w:val="2DB81DB3"/>
    <w:rsid w:val="2E4504BE"/>
    <w:rsid w:val="2F330ED0"/>
    <w:rsid w:val="3080087A"/>
    <w:rsid w:val="30D40128"/>
    <w:rsid w:val="31066F21"/>
    <w:rsid w:val="3187761A"/>
    <w:rsid w:val="31CC561D"/>
    <w:rsid w:val="326D7BF3"/>
    <w:rsid w:val="3273693B"/>
    <w:rsid w:val="32811CDB"/>
    <w:rsid w:val="33DF58D0"/>
    <w:rsid w:val="340442B0"/>
    <w:rsid w:val="36D43822"/>
    <w:rsid w:val="38D8751A"/>
    <w:rsid w:val="39524B49"/>
    <w:rsid w:val="3B91634C"/>
    <w:rsid w:val="3BCA1C1F"/>
    <w:rsid w:val="3C7F73C3"/>
    <w:rsid w:val="3D0C2400"/>
    <w:rsid w:val="3DBA6F7A"/>
    <w:rsid w:val="400C72BC"/>
    <w:rsid w:val="427F208B"/>
    <w:rsid w:val="42AF7463"/>
    <w:rsid w:val="42EA6575"/>
    <w:rsid w:val="44525868"/>
    <w:rsid w:val="44A84208"/>
    <w:rsid w:val="45AE2B38"/>
    <w:rsid w:val="48E75045"/>
    <w:rsid w:val="4A7E303F"/>
    <w:rsid w:val="4AFA58A0"/>
    <w:rsid w:val="4C945CE2"/>
    <w:rsid w:val="4D7801B0"/>
    <w:rsid w:val="4DAC5861"/>
    <w:rsid w:val="4FB50071"/>
    <w:rsid w:val="50D46AA6"/>
    <w:rsid w:val="51AD2077"/>
    <w:rsid w:val="53277C2A"/>
    <w:rsid w:val="55746580"/>
    <w:rsid w:val="57351D19"/>
    <w:rsid w:val="57592586"/>
    <w:rsid w:val="576420D7"/>
    <w:rsid w:val="57686480"/>
    <w:rsid w:val="58A67636"/>
    <w:rsid w:val="5909311E"/>
    <w:rsid w:val="5BEC1F1E"/>
    <w:rsid w:val="5C451058"/>
    <w:rsid w:val="5CDA446A"/>
    <w:rsid w:val="5CF36005"/>
    <w:rsid w:val="5F037D73"/>
    <w:rsid w:val="5F7A39AB"/>
    <w:rsid w:val="602B45E8"/>
    <w:rsid w:val="60D30195"/>
    <w:rsid w:val="61956F82"/>
    <w:rsid w:val="6241067E"/>
    <w:rsid w:val="62E61593"/>
    <w:rsid w:val="639B7820"/>
    <w:rsid w:val="64480FBE"/>
    <w:rsid w:val="64C8354E"/>
    <w:rsid w:val="680D4B09"/>
    <w:rsid w:val="694F2F88"/>
    <w:rsid w:val="69572D98"/>
    <w:rsid w:val="695D7E3C"/>
    <w:rsid w:val="6A4B3C48"/>
    <w:rsid w:val="6A7E1A8D"/>
    <w:rsid w:val="6AAF5D96"/>
    <w:rsid w:val="6C1B28AF"/>
    <w:rsid w:val="6CA54261"/>
    <w:rsid w:val="6F023D5C"/>
    <w:rsid w:val="6F7B257C"/>
    <w:rsid w:val="71E84EA3"/>
    <w:rsid w:val="74204729"/>
    <w:rsid w:val="74580255"/>
    <w:rsid w:val="748970D5"/>
    <w:rsid w:val="75A97E44"/>
    <w:rsid w:val="7C4201A4"/>
    <w:rsid w:val="7D6D798E"/>
    <w:rsid w:val="7EB24B1E"/>
    <w:rsid w:val="7F2764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9"/>
    <w:unhideWhenUsed/>
    <w:qFormat/>
    <w:uiPriority w:val="99"/>
    <w:rPr>
      <w:sz w:val="18"/>
      <w:szCs w:val="18"/>
    </w:r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6"/>
    <w:qFormat/>
    <w:uiPriority w:val="0"/>
    <w:pPr>
      <w:widowControl/>
      <w:tabs>
        <w:tab w:val="center" w:pos="4153"/>
        <w:tab w:val="right" w:pos="8306"/>
      </w:tabs>
      <w:jc w:val="left"/>
    </w:pPr>
    <w:rPr>
      <w:rFonts w:ascii="宋体" w:hAnsi="宋体" w:cs="宋体"/>
      <w:sz w:val="24"/>
    </w:rPr>
  </w:style>
  <w:style w:type="paragraph" w:customStyle="1" w:styleId="6">
    <w:name w:val="Header"/>
    <w:basedOn w:val="7"/>
    <w:qFormat/>
    <w:uiPriority w:val="0"/>
    <w:pPr>
      <w:pBdr>
        <w:top w:val="none" w:color="000000" w:sz="0" w:space="3"/>
        <w:left w:val="none" w:color="000000" w:sz="0" w:space="3"/>
        <w:bottom w:val="single" w:color="000000" w:sz="6" w:space="1"/>
        <w:right w:val="none" w:color="000000" w:sz="0" w:space="3"/>
        <w:between w:val="none" w:color="000000" w:sz="0" w:space="0"/>
      </w:pBdr>
      <w:tabs>
        <w:tab w:val="center" w:pos="4153"/>
        <w:tab w:val="right" w:pos="8306"/>
      </w:tabs>
      <w:jc w:val="center"/>
    </w:pPr>
  </w:style>
  <w:style w:type="paragraph" w:customStyle="1" w:styleId="7">
    <w:name w:val="Footer"/>
    <w:basedOn w:val="1"/>
    <w:qFormat/>
    <w:uiPriority w:val="0"/>
    <w:pPr>
      <w:tabs>
        <w:tab w:val="center" w:pos="4153"/>
        <w:tab w:val="right" w:pos="8306"/>
      </w:tabs>
      <w:jc w:val="left"/>
    </w:pPr>
    <w:rPr>
      <w:rFonts w:ascii="Calibri" w:hAnsi="Calibri" w:eastAsia="Calibri"/>
      <w:sz w:val="18"/>
      <w:szCs w:val="18"/>
    </w:rPr>
  </w:style>
  <w:style w:type="character" w:styleId="10">
    <w:name w:val="Hyperlink"/>
    <w:basedOn w:val="9"/>
    <w:unhideWhenUsed/>
    <w:qFormat/>
    <w:uiPriority w:val="99"/>
    <w:rPr>
      <w:color w:val="0000FF"/>
      <w:u w:val="single"/>
    </w:rPr>
  </w:style>
  <w:style w:type="paragraph" w:customStyle="1" w:styleId="11">
    <w:name w:val="列出段落1"/>
    <w:basedOn w:val="6"/>
    <w:qFormat/>
    <w:uiPriority w:val="0"/>
    <w:pPr>
      <w:ind w:firstLine="420"/>
    </w:pPr>
  </w:style>
  <w:style w:type="paragraph" w:customStyle="1" w:styleId="12">
    <w:name w:val="Default"/>
    <w:qFormat/>
    <w:uiPriority w:val="0"/>
    <w:pPr>
      <w:widowControl w:val="0"/>
    </w:pPr>
    <w:rPr>
      <w:rFonts w:hint="eastAsia" w:ascii="宋体" w:hAnsi="宋体" w:eastAsia="宋体" w:cs="Times New Roman"/>
      <w:sz w:val="24"/>
      <w:lang w:val="en-US" w:eastAsia="zh-CN" w:bidi="ar-SA"/>
    </w:rPr>
  </w:style>
  <w:style w:type="character" w:customStyle="1" w:styleId="13">
    <w:name w:val="页眉 Char"/>
    <w:basedOn w:val="9"/>
    <w:qFormat/>
    <w:uiPriority w:val="0"/>
    <w:rPr>
      <w:sz w:val="18"/>
      <w:szCs w:val="18"/>
    </w:rPr>
  </w:style>
  <w:style w:type="character" w:customStyle="1" w:styleId="14">
    <w:name w:val="页脚 Char"/>
    <w:basedOn w:val="9"/>
    <w:qFormat/>
    <w:uiPriority w:val="0"/>
    <w:rPr>
      <w:sz w:val="18"/>
      <w:szCs w:val="18"/>
    </w:rPr>
  </w:style>
  <w:style w:type="character" w:customStyle="1" w:styleId="15">
    <w:name w:val="普通文字 Char Char1"/>
    <w:basedOn w:val="9"/>
    <w:qFormat/>
    <w:uiPriority w:val="0"/>
    <w:rPr>
      <w:rFonts w:ascii="Courier New" w:hAnsi="Courier New" w:eastAsia="宋体"/>
      <w:sz w:val="21"/>
      <w:lang w:val="en-US" w:eastAsia="zh-CN" w:bidi="ar-SA"/>
    </w:rPr>
  </w:style>
  <w:style w:type="character" w:customStyle="1" w:styleId="16">
    <w:name w:val="apple-converted-space"/>
    <w:basedOn w:val="9"/>
    <w:qFormat/>
    <w:uiPriority w:val="0"/>
  </w:style>
  <w:style w:type="character" w:customStyle="1" w:styleId="17">
    <w:name w:val="页眉 Char1"/>
    <w:basedOn w:val="9"/>
    <w:link w:val="4"/>
    <w:semiHidden/>
    <w:qFormat/>
    <w:uiPriority w:val="99"/>
    <w:rPr>
      <w:sz w:val="18"/>
      <w:szCs w:val="18"/>
    </w:rPr>
  </w:style>
  <w:style w:type="character" w:customStyle="1" w:styleId="18">
    <w:name w:val="页脚 Char1"/>
    <w:basedOn w:val="9"/>
    <w:link w:val="3"/>
    <w:semiHidden/>
    <w:qFormat/>
    <w:uiPriority w:val="99"/>
    <w:rPr>
      <w:sz w:val="18"/>
      <w:szCs w:val="18"/>
    </w:rPr>
  </w:style>
  <w:style w:type="character" w:customStyle="1" w:styleId="19">
    <w:name w:val="批注框文本 Char"/>
    <w:basedOn w:val="9"/>
    <w:link w:val="2"/>
    <w:semiHidden/>
    <w:qFormat/>
    <w:uiPriority w:val="99"/>
    <w:rPr>
      <w:kern w:val="1"/>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195</Words>
  <Characters>1114</Characters>
  <Lines>9</Lines>
  <Paragraphs>2</Paragraphs>
  <TotalTime>5</TotalTime>
  <ScaleCrop>false</ScaleCrop>
  <LinksUpToDate>false</LinksUpToDate>
  <CharactersWithSpaces>1307</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2015-04-08T08:21:00Z</dcterms:created>
  <dc:creator>Lenovo User</dc:creator>
  <cp:lastModifiedBy>魅、</cp:lastModifiedBy>
  <cp:lastPrinted>2018-05-23T07:44:00Z</cp:lastPrinted>
  <dcterms:modified xsi:type="dcterms:W3CDTF">2019-06-14T07:59:44Z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