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                                     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rPr>
          <w:rFonts w:hint="eastAsia" w:ascii="Times New Roman" w:hAnsi="Times New Roman" w:eastAsia="宋体"/>
          <w:bCs/>
          <w:iCs/>
          <w:color w:val="000000"/>
          <w:sz w:val="24"/>
          <w:lang w:eastAsia="zh-CN"/>
        </w:rPr>
      </w:pPr>
      <w:r>
        <w:rPr>
          <w:rFonts w:ascii="Times New Roman" w:hAnsi="Times New Roman"/>
          <w:bCs/>
          <w:iCs/>
          <w:color w:val="000000"/>
          <w:sz w:val="24"/>
        </w:rPr>
        <w:t xml:space="preserve">                                                   编号：201900</w:t>
      </w:r>
      <w:r>
        <w:rPr>
          <w:rFonts w:hint="eastAsia" w:ascii="Times New Roman" w:hAnsi="Times New Roman"/>
          <w:bCs/>
          <w:iCs/>
          <w:color w:val="000000"/>
          <w:sz w:val="24"/>
          <w:lang w:val="en-US" w:eastAsia="zh-CN"/>
        </w:rPr>
        <w:t>4</w:t>
      </w:r>
    </w:p>
    <w:tbl>
      <w:tblPr>
        <w:tblStyle w:val="7"/>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sym w:font="Wingdings 2" w:char="0052"/>
            </w:r>
            <w:r>
              <w:rPr>
                <w:rFonts w:ascii="Times New Roman" w:hAnsi="Times New Roman" w:eastAsia="宋体"/>
                <w:bCs/>
                <w:iCs/>
                <w:color w:val="000000"/>
                <w:szCs w:val="21"/>
              </w:rPr>
              <w:t xml:space="preserve"> </w:t>
            </w:r>
            <w:r>
              <w:rPr>
                <w:rFonts w:ascii="Times New Roman" w:hAnsi="Times New Roman" w:eastAsia="宋体"/>
                <w:szCs w:val="21"/>
              </w:rPr>
              <w:t xml:space="preserve">特定对象调研       </w:t>
            </w:r>
            <w:r>
              <w:rPr>
                <w:rFonts w:ascii="Times New Roman" w:hAnsi="Times New Roman" w:eastAsia="宋体"/>
                <w:bCs/>
                <w:iCs/>
                <w:color w:val="000000"/>
                <w:szCs w:val="21"/>
              </w:rPr>
              <w:sym w:font="Wingdings 2" w:char="00A3"/>
            </w:r>
            <w:r>
              <w:rPr>
                <w:rFonts w:ascii="Times New Roman" w:hAnsi="Times New Roman" w:eastAsia="宋体"/>
                <w:bCs/>
                <w:iCs/>
                <w:color w:val="000000"/>
                <w:szCs w:val="21"/>
              </w:rPr>
              <w:t xml:space="preserve"> </w:t>
            </w:r>
            <w:r>
              <w:rPr>
                <w:rFonts w:ascii="Times New Roman" w:hAnsi="Times New Roman" w:eastAsia="宋体"/>
                <w:szCs w:val="21"/>
              </w:rPr>
              <w:t>分析师会议</w:t>
            </w:r>
          </w:p>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sym w:font="Wingdings 2" w:char="00A3"/>
            </w:r>
            <w:r>
              <w:rPr>
                <w:rFonts w:ascii="Times New Roman" w:hAnsi="Times New Roman" w:eastAsia="宋体"/>
                <w:bCs/>
                <w:iCs/>
                <w:color w:val="000000"/>
                <w:szCs w:val="21"/>
              </w:rPr>
              <w:t xml:space="preserve"> </w:t>
            </w:r>
            <w:r>
              <w:rPr>
                <w:rFonts w:ascii="Times New Roman" w:hAnsi="Times New Roman" w:eastAsia="宋体"/>
                <w:szCs w:val="21"/>
              </w:rPr>
              <w:t xml:space="preserve">媒体采访           </w:t>
            </w:r>
            <w:r>
              <w:rPr>
                <w:rFonts w:ascii="Times New Roman" w:hAnsi="Times New Roman" w:eastAsia="宋体"/>
                <w:bCs/>
                <w:iCs/>
                <w:color w:val="000000"/>
                <w:szCs w:val="21"/>
              </w:rPr>
              <w:sym w:font="Wingdings 2" w:char="00A3"/>
            </w:r>
            <w:r>
              <w:rPr>
                <w:rFonts w:ascii="Times New Roman" w:hAnsi="Times New Roman" w:eastAsia="宋体"/>
                <w:bCs/>
                <w:iCs/>
                <w:color w:val="000000"/>
                <w:szCs w:val="21"/>
              </w:rPr>
              <w:t xml:space="preserve"> </w:t>
            </w:r>
            <w:r>
              <w:rPr>
                <w:rFonts w:ascii="Times New Roman" w:hAnsi="Times New Roman" w:eastAsia="宋体"/>
                <w:szCs w:val="21"/>
              </w:rPr>
              <w:t>业绩说明会</w:t>
            </w:r>
          </w:p>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sym w:font="Wingdings 2" w:char="00A3"/>
            </w:r>
            <w:r>
              <w:rPr>
                <w:rFonts w:ascii="Times New Roman" w:hAnsi="Times New Roman" w:eastAsia="宋体"/>
                <w:bCs/>
                <w:iCs/>
                <w:color w:val="000000"/>
                <w:szCs w:val="21"/>
              </w:rPr>
              <w:t xml:space="preserve"> </w:t>
            </w:r>
            <w:r>
              <w:rPr>
                <w:rFonts w:ascii="Times New Roman" w:hAnsi="Times New Roman" w:eastAsia="宋体"/>
                <w:szCs w:val="21"/>
              </w:rPr>
              <w:t xml:space="preserve">新闻发布会         </w:t>
            </w:r>
            <w:r>
              <w:rPr>
                <w:rFonts w:ascii="Times New Roman" w:hAnsi="Times New Roman" w:eastAsia="宋体"/>
                <w:bCs/>
                <w:iCs/>
                <w:color w:val="000000"/>
                <w:szCs w:val="21"/>
              </w:rPr>
              <w:sym w:font="Wingdings 2" w:char="00A3"/>
            </w:r>
            <w:r>
              <w:rPr>
                <w:rFonts w:ascii="Times New Roman" w:hAnsi="Times New Roman" w:eastAsia="宋体"/>
                <w:bCs/>
                <w:iCs/>
                <w:color w:val="000000"/>
                <w:szCs w:val="21"/>
              </w:rPr>
              <w:t xml:space="preserve"> </w:t>
            </w:r>
            <w:r>
              <w:rPr>
                <w:rFonts w:ascii="Times New Roman" w:hAnsi="Times New Roman" w:eastAsia="宋体"/>
                <w:szCs w:val="21"/>
              </w:rPr>
              <w:t>路演活动</w:t>
            </w:r>
          </w:p>
          <w:p>
            <w:pPr>
              <w:tabs>
                <w:tab w:val="left" w:pos="2445"/>
                <w:tab w:val="center" w:pos="3199"/>
              </w:tabs>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sym w:font="Wingdings 2" w:char="0052"/>
            </w:r>
            <w:r>
              <w:rPr>
                <w:rFonts w:ascii="Times New Roman" w:hAnsi="Times New Roman" w:eastAsia="宋体"/>
                <w:bCs/>
                <w:iCs/>
                <w:color w:val="000000"/>
                <w:szCs w:val="21"/>
              </w:rPr>
              <w:t xml:space="preserve"> </w:t>
            </w:r>
            <w:r>
              <w:rPr>
                <w:rFonts w:ascii="Times New Roman" w:hAnsi="Times New Roman" w:eastAsia="宋体"/>
                <w:szCs w:val="21"/>
              </w:rPr>
              <w:t>现场参观</w:t>
            </w:r>
            <w:r>
              <w:rPr>
                <w:rFonts w:ascii="Times New Roman" w:hAnsi="Times New Roman" w:eastAsia="宋体"/>
                <w:bCs/>
                <w:iCs/>
                <w:color w:val="000000"/>
                <w:szCs w:val="21"/>
              </w:rPr>
              <w:t xml:space="preserve">           </w:t>
            </w:r>
            <w:r>
              <w:rPr>
                <w:rFonts w:ascii="Times New Roman" w:hAnsi="Times New Roman" w:eastAsia="宋体"/>
                <w:bCs/>
                <w:iCs/>
                <w:color w:val="000000"/>
                <w:szCs w:val="21"/>
              </w:rPr>
              <w:sym w:font="Wingdings 2" w:char="00A3"/>
            </w:r>
            <w:r>
              <w:rPr>
                <w:rFonts w:ascii="Times New Roman" w:hAnsi="Times New Roman" w:eastAsia="宋体"/>
                <w:bCs/>
                <w:iCs/>
                <w:color w:val="000000"/>
                <w:szCs w:val="21"/>
              </w:rPr>
              <w:t xml:space="preserve"> </w:t>
            </w:r>
            <w:r>
              <w:rPr>
                <w:rFonts w:ascii="Times New Roman" w:hAnsi="Times New Roman" w:eastAsia="宋体"/>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参与单位名称及人员姓名</w:t>
            </w:r>
          </w:p>
        </w:tc>
        <w:tc>
          <w:tcPr>
            <w:tcW w:w="68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Cs/>
                <w:iCs/>
                <w:color w:val="000000"/>
                <w:szCs w:val="21"/>
                <w:lang w:val="en-US" w:eastAsia="zh-CN"/>
              </w:rPr>
            </w:pPr>
            <w:r>
              <w:rPr>
                <w:rFonts w:hint="eastAsia" w:ascii="宋体" w:hAnsi="宋体" w:cs="宋体"/>
                <w:bCs/>
                <w:iCs/>
                <w:color w:val="000000"/>
                <w:szCs w:val="21"/>
                <w:lang w:val="en-US" w:eastAsia="zh-CN"/>
              </w:rPr>
              <w:t>中国人寿资产管理</w:t>
            </w:r>
            <w:r>
              <w:rPr>
                <w:rFonts w:hint="eastAsia" w:ascii="宋体" w:hAnsi="宋体" w:cs="宋体"/>
                <w:bCs/>
                <w:color w:val="000000"/>
                <w:kern w:val="0"/>
                <w:sz w:val="21"/>
                <w:szCs w:val="21"/>
                <w:lang w:bidi="ar"/>
              </w:rPr>
              <w:t>张凌炜、章翔</w:t>
            </w:r>
            <w:r>
              <w:rPr>
                <w:rFonts w:hint="eastAsia" w:ascii="宋体" w:hAnsi="宋体" w:cs="宋体"/>
                <w:bCs/>
                <w:color w:val="000000"/>
                <w:kern w:val="0"/>
                <w:sz w:val="21"/>
                <w:szCs w:val="21"/>
                <w:lang w:eastAsia="zh-CN" w:bidi="ar"/>
              </w:rPr>
              <w:t>、高奕昂；东吴证券侯宾、张凌立；</w:t>
            </w:r>
            <w:r>
              <w:rPr>
                <w:rFonts w:hint="eastAsia" w:ascii="宋体" w:hAnsi="宋体" w:cs="宋体"/>
                <w:bCs/>
                <w:iCs/>
                <w:color w:val="000000"/>
                <w:szCs w:val="21"/>
                <w:lang w:val="en-US" w:eastAsia="zh-CN"/>
              </w:rPr>
              <w:t>新华资产耿金文、中国银河国际邹敏、张岸；东方资管林鹏、张伟锋；银鲨基金谢彩娇、万联证券袁志远、华福证券李颖欣、万联证券叶露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Cs/>
                <w:iCs/>
                <w:color w:val="000000"/>
                <w:sz w:val="18"/>
                <w:szCs w:val="18"/>
                <w:lang w:val="en-US" w:eastAsia="zh-CN"/>
              </w:rPr>
            </w:pPr>
            <w:r>
              <w:rPr>
                <w:rFonts w:hint="eastAsia" w:ascii="宋体" w:hAnsi="宋体" w:cs="宋体"/>
                <w:bCs/>
                <w:iCs/>
                <w:color w:val="000000"/>
                <w:sz w:val="18"/>
                <w:szCs w:val="18"/>
                <w:lang w:val="en-US" w:eastAsia="zh-CN"/>
              </w:rPr>
              <w:t>2019年6月11日 9:30-11:30</w:t>
            </w:r>
          </w:p>
          <w:p>
            <w:pPr>
              <w:spacing w:line="240" w:lineRule="auto"/>
              <w:rPr>
                <w:rFonts w:hint="eastAsia" w:ascii="宋体" w:hAnsi="宋体" w:eastAsia="宋体" w:cs="宋体"/>
                <w:bCs/>
                <w:iCs/>
                <w:color w:val="000000"/>
                <w:sz w:val="18"/>
                <w:szCs w:val="18"/>
                <w:lang w:val="en-US" w:eastAsia="zh-CN"/>
              </w:rPr>
            </w:pPr>
            <w:r>
              <w:rPr>
                <w:rFonts w:hint="eastAsia" w:ascii="宋体" w:hAnsi="宋体" w:eastAsia="宋体" w:cs="宋体"/>
                <w:bCs/>
                <w:iCs/>
                <w:color w:val="000000"/>
                <w:sz w:val="18"/>
                <w:szCs w:val="18"/>
              </w:rPr>
              <w:t>2019年</w:t>
            </w:r>
            <w:r>
              <w:rPr>
                <w:rFonts w:hint="eastAsia" w:ascii="宋体" w:hAnsi="宋体" w:cs="宋体"/>
                <w:bCs/>
                <w:iCs/>
                <w:color w:val="000000"/>
                <w:sz w:val="18"/>
                <w:szCs w:val="18"/>
                <w:lang w:val="en-US" w:eastAsia="zh-CN"/>
              </w:rPr>
              <w:t>6</w:t>
            </w:r>
            <w:r>
              <w:rPr>
                <w:rFonts w:hint="eastAsia" w:ascii="宋体" w:hAnsi="宋体" w:eastAsia="宋体" w:cs="宋体"/>
                <w:bCs/>
                <w:iCs/>
                <w:color w:val="000000"/>
                <w:sz w:val="18"/>
                <w:szCs w:val="18"/>
              </w:rPr>
              <w:t>月</w:t>
            </w:r>
            <w:r>
              <w:rPr>
                <w:rFonts w:hint="eastAsia" w:ascii="宋体" w:hAnsi="宋体" w:cs="宋体"/>
                <w:bCs/>
                <w:iCs/>
                <w:color w:val="000000"/>
                <w:sz w:val="18"/>
                <w:szCs w:val="18"/>
                <w:lang w:val="en-US" w:eastAsia="zh-CN"/>
              </w:rPr>
              <w:t>12</w:t>
            </w:r>
            <w:r>
              <w:rPr>
                <w:rFonts w:hint="eastAsia" w:ascii="宋体" w:hAnsi="宋体" w:eastAsia="宋体" w:cs="宋体"/>
                <w:bCs/>
                <w:iCs/>
                <w:color w:val="000000"/>
                <w:sz w:val="18"/>
                <w:szCs w:val="18"/>
              </w:rPr>
              <w:t>日</w:t>
            </w:r>
            <w:r>
              <w:rPr>
                <w:rFonts w:hint="eastAsia" w:ascii="宋体" w:hAnsi="宋体" w:cs="宋体"/>
                <w:bCs/>
                <w:iCs/>
                <w:color w:val="000000"/>
                <w:sz w:val="18"/>
                <w:szCs w:val="18"/>
                <w:lang w:val="en-US" w:eastAsia="zh-CN"/>
              </w:rPr>
              <w:t>15:00-16:30</w:t>
            </w:r>
          </w:p>
          <w:p>
            <w:pPr>
              <w:spacing w:line="240" w:lineRule="auto"/>
              <w:rPr>
                <w:rFonts w:hint="eastAsia" w:ascii="宋体" w:hAnsi="宋体" w:eastAsia="宋体" w:cs="宋体"/>
                <w:bCs/>
                <w:iCs/>
                <w:color w:val="000000"/>
                <w:sz w:val="18"/>
                <w:szCs w:val="18"/>
                <w:lang w:eastAsia="zh-CN"/>
              </w:rPr>
            </w:pPr>
            <w:r>
              <w:rPr>
                <w:rFonts w:hint="eastAsia" w:ascii="宋体" w:hAnsi="宋体" w:cs="宋体"/>
                <w:bCs/>
                <w:iCs/>
                <w:color w:val="000000"/>
                <w:sz w:val="18"/>
                <w:szCs w:val="18"/>
              </w:rPr>
              <w:t>广东省广州市黄埔区科学城开创大道2819号高新兴科技集团股份有限公司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
                <w:bCs/>
                <w:iCs/>
                <w:color w:val="000000"/>
                <w:sz w:val="18"/>
                <w:szCs w:val="18"/>
                <w:lang w:eastAsia="zh-CN"/>
              </w:rPr>
            </w:pPr>
            <w:r>
              <w:rPr>
                <w:rFonts w:hint="eastAsia" w:ascii="宋体" w:hAnsi="宋体" w:cs="宋体"/>
                <w:bCs/>
                <w:iCs/>
                <w:color w:val="000000"/>
                <w:sz w:val="18"/>
                <w:szCs w:val="18"/>
                <w:lang w:eastAsia="zh-CN"/>
              </w:rPr>
              <w:t>高新兴科技集团：</w:t>
            </w:r>
          </w:p>
          <w:p>
            <w:pPr>
              <w:spacing w:line="240" w:lineRule="auto"/>
              <w:rPr>
                <w:rFonts w:hint="eastAsia" w:ascii="宋体" w:hAnsi="宋体" w:cs="宋体"/>
                <w:bCs/>
                <w:iCs/>
                <w:color w:val="000000"/>
                <w:sz w:val="18"/>
                <w:szCs w:val="18"/>
                <w:lang w:eastAsia="zh-CN"/>
              </w:rPr>
            </w:pPr>
            <w:r>
              <w:rPr>
                <w:rFonts w:hint="eastAsia" w:ascii="宋体" w:hAnsi="宋体" w:cs="宋体"/>
                <w:bCs/>
                <w:iCs/>
                <w:color w:val="000000"/>
                <w:sz w:val="18"/>
                <w:szCs w:val="18"/>
                <w:lang w:eastAsia="zh-CN"/>
              </w:rPr>
              <w:t>董事长刘双广</w:t>
            </w:r>
          </w:p>
          <w:p>
            <w:pPr>
              <w:spacing w:line="240" w:lineRule="auto"/>
              <w:rPr>
                <w:rFonts w:hint="eastAsia" w:ascii="宋体" w:hAnsi="宋体" w:cs="宋体"/>
                <w:bCs/>
                <w:iCs/>
                <w:color w:val="000000"/>
                <w:sz w:val="18"/>
                <w:szCs w:val="18"/>
                <w:lang w:eastAsia="zh-CN"/>
              </w:rPr>
            </w:pPr>
            <w:r>
              <w:rPr>
                <w:rFonts w:hint="eastAsia" w:ascii="宋体" w:hAnsi="宋体" w:cs="宋体"/>
                <w:bCs/>
                <w:iCs/>
                <w:color w:val="000000"/>
                <w:sz w:val="18"/>
                <w:szCs w:val="18"/>
                <w:lang w:eastAsia="zh-CN"/>
              </w:rPr>
              <w:t>执行副总裁、董事会秘书陈婧</w:t>
            </w:r>
          </w:p>
          <w:p>
            <w:pPr>
              <w:spacing w:line="240" w:lineRule="auto"/>
              <w:rPr>
                <w:rFonts w:hint="eastAsia" w:ascii="宋体" w:hAnsi="宋体" w:eastAsia="宋体" w:cs="宋体"/>
                <w:bCs/>
                <w:iCs/>
                <w:color w:val="000000"/>
                <w:sz w:val="18"/>
                <w:szCs w:val="18"/>
                <w:lang w:eastAsia="zh-CN"/>
              </w:rPr>
            </w:pPr>
            <w:r>
              <w:rPr>
                <w:rFonts w:hint="eastAsia" w:ascii="宋体" w:hAnsi="宋体" w:cs="宋体"/>
                <w:bCs/>
                <w:iCs/>
                <w:color w:val="000000"/>
                <w:sz w:val="18"/>
                <w:szCs w:val="18"/>
                <w:lang w:eastAsia="zh-CN"/>
              </w:rPr>
              <w:t>证券事务代表黄璨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0" w:hRule="atLeast"/>
        </w:trPr>
        <w:tc>
          <w:tcPr>
            <w:tcW w:w="14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noWrap w:val="0"/>
            <w:vAlign w:val="center"/>
          </w:tcPr>
          <w:p>
            <w:pPr>
              <w:pStyle w:val="12"/>
              <w:numPr>
                <w:ilvl w:val="0"/>
                <w:numId w:val="0"/>
              </w:numPr>
              <w:spacing w:line="360" w:lineRule="auto"/>
              <w:jc w:val="left"/>
              <w:rPr>
                <w:rFonts w:hint="default" w:ascii="Times New Roman" w:hAnsi="Times New Roman" w:eastAsiaTheme="minorEastAsia"/>
                <w:b/>
                <w:iCs/>
                <w:color w:val="000000"/>
                <w:szCs w:val="21"/>
              </w:rPr>
            </w:pPr>
            <w:r>
              <w:rPr>
                <w:rFonts w:hint="default" w:ascii="Times New Roman" w:hAnsi="Times New Roman" w:eastAsiaTheme="minorEastAsia"/>
                <w:b/>
                <w:iCs/>
                <w:color w:val="000000"/>
                <w:szCs w:val="21"/>
              </w:rPr>
              <w:t>现场提问</w:t>
            </w:r>
          </w:p>
          <w:p>
            <w:pPr>
              <w:rPr>
                <w:rFonts w:hint="default" w:ascii="Times New Roman" w:hAnsi="Times New Roman" w:eastAsiaTheme="minorEastAsia"/>
                <w:b/>
                <w:bCs/>
                <w:color w:val="auto"/>
                <w:lang w:val="en-US" w:eastAsia="zh-CN"/>
              </w:rPr>
            </w:pPr>
            <w:r>
              <w:rPr>
                <w:rFonts w:hint="default" w:ascii="Times New Roman" w:hAnsi="Times New Roman" w:eastAsiaTheme="minorEastAsia"/>
                <w:b/>
                <w:bCs/>
                <w:color w:val="auto"/>
                <w:lang w:val="en-US" w:eastAsia="zh-CN"/>
              </w:rPr>
              <w:t>1、公司</w:t>
            </w:r>
            <w:r>
              <w:rPr>
                <w:rFonts w:hint="default" w:ascii="Times New Roman" w:hAnsi="Times New Roman" w:eastAsiaTheme="minorEastAsia"/>
                <w:b/>
                <w:bCs/>
                <w:color w:val="auto"/>
                <w:lang w:val="zh-CN"/>
              </w:rPr>
              <w:t>车联网业务的发展情况</w:t>
            </w:r>
            <w:r>
              <w:rPr>
                <w:rFonts w:hint="default" w:ascii="Times New Roman" w:hAnsi="Times New Roman" w:eastAsiaTheme="minorEastAsia"/>
                <w:b/>
                <w:bCs/>
                <w:color w:val="auto"/>
                <w:lang w:val="en-US" w:eastAsia="zh-CN"/>
              </w:rPr>
              <w:t>以及预计今年前后装车规级模组及终端的出货量情况如何？</w:t>
            </w:r>
          </w:p>
          <w:p>
            <w:pPr>
              <w:ind w:firstLine="420" w:firstLineChars="200"/>
              <w:rPr>
                <w:rFonts w:hint="default" w:ascii="Times New Roman" w:hAnsi="Times New Roman" w:eastAsiaTheme="minorEastAsia"/>
              </w:rPr>
            </w:pPr>
            <w:r>
              <w:rPr>
                <w:rFonts w:hint="default" w:ascii="Times New Roman" w:hAnsi="Times New Roman" w:eastAsiaTheme="minorEastAsia"/>
                <w:lang w:val="en-US" w:eastAsia="zh-CN"/>
              </w:rPr>
              <w:t>公司车联网业务目前贯彻“车载单元-车路协同-车联网平台-智慧交通应用”的纵向战略布局，</w:t>
            </w:r>
            <w:r>
              <w:rPr>
                <w:rFonts w:hint="default" w:ascii="Times New Roman" w:hAnsi="Times New Roman" w:eastAsiaTheme="minorEastAsia"/>
              </w:rPr>
              <w:t>车载</w:t>
            </w:r>
            <w:r>
              <w:rPr>
                <w:rFonts w:hint="default" w:ascii="Times New Roman" w:hAnsi="Times New Roman" w:eastAsiaTheme="minorEastAsia"/>
                <w:lang w:val="en-US" w:eastAsia="zh-CN"/>
              </w:rPr>
              <w:t>单元</w:t>
            </w:r>
            <w:r>
              <w:rPr>
                <w:rFonts w:hint="default" w:ascii="Times New Roman" w:hAnsi="Times New Roman" w:eastAsiaTheme="minorEastAsia"/>
              </w:rPr>
              <w:t>有前装的车规级模组和T-box</w:t>
            </w:r>
            <w:r>
              <w:rPr>
                <w:rFonts w:hint="default" w:ascii="Times New Roman" w:hAnsi="Times New Roman" w:eastAsiaTheme="minorEastAsia"/>
                <w:lang w:val="en-US" w:eastAsia="zh-CN"/>
              </w:rPr>
              <w:t>车载终端</w:t>
            </w:r>
            <w:r>
              <w:rPr>
                <w:rFonts w:hint="default" w:ascii="Times New Roman" w:hAnsi="Times New Roman" w:eastAsiaTheme="minorEastAsia"/>
              </w:rPr>
              <w:t>产品，后装的OBD</w:t>
            </w:r>
            <w:r>
              <w:rPr>
                <w:rFonts w:hint="default" w:ascii="Times New Roman" w:hAnsi="Times New Roman" w:eastAsiaTheme="minorEastAsia"/>
                <w:lang w:val="en-US" w:eastAsia="zh-CN"/>
              </w:rPr>
              <w:t>终端</w:t>
            </w:r>
            <w:r>
              <w:rPr>
                <w:rFonts w:hint="default" w:ascii="Times New Roman" w:hAnsi="Times New Roman" w:eastAsiaTheme="minorEastAsia"/>
              </w:rPr>
              <w:t>产品。</w:t>
            </w:r>
          </w:p>
          <w:p>
            <w:pPr>
              <w:ind w:firstLine="420" w:firstLineChars="200"/>
              <w:rPr>
                <w:rFonts w:hint="default" w:ascii="Times New Roman" w:hAnsi="Times New Roman" w:eastAsiaTheme="minorEastAsia"/>
                <w:lang w:val="en-US" w:eastAsia="zh-CN"/>
              </w:rPr>
            </w:pPr>
            <w:r>
              <w:rPr>
                <w:rFonts w:hint="default" w:ascii="Times New Roman" w:hAnsi="Times New Roman" w:eastAsiaTheme="minorEastAsia"/>
              </w:rPr>
              <w:t>在前装市场方面，公司为吉利、长安、比亚迪等国内大型整车厂商以及延锋伟世通——国际TIER1合格供应商，提供高品质4G车规级模组和T-Box终端，实现前装车规级产品批量发货</w:t>
            </w:r>
            <w:r>
              <w:rPr>
                <w:rFonts w:hint="default" w:ascii="Times New Roman" w:hAnsi="Times New Roman" w:eastAsiaTheme="minorEastAsia"/>
                <w:lang w:eastAsia="zh-CN"/>
              </w:rPr>
              <w:t>。后装市场方面，公司与欧洲、北美多家著名TSP(互联网汽车服务提供商)</w:t>
            </w:r>
            <w:r>
              <w:rPr>
                <w:rFonts w:hint="eastAsia" w:ascii="Times New Roman" w:hAnsi="Times New Roman" w:eastAsiaTheme="minorEastAsia"/>
                <w:lang w:eastAsia="zh-CN"/>
              </w:rPr>
              <w:t>、</w:t>
            </w:r>
            <w:r>
              <w:rPr>
                <w:rFonts w:hint="default" w:ascii="Times New Roman" w:hAnsi="Times New Roman" w:eastAsiaTheme="minorEastAsia"/>
                <w:lang w:eastAsia="zh-CN"/>
              </w:rPr>
              <w:t>MOJIO、OCTO，顶尖通信运营商AT&amp;T、T-Mobile展开合作，推出面向汽车后装市场的车载诊断系统产品（4G OBD和UBI）。</w:t>
            </w:r>
            <w:r>
              <w:rPr>
                <w:rFonts w:hint="default" w:ascii="Times New Roman" w:hAnsi="Times New Roman" w:eastAsiaTheme="minorEastAsia"/>
              </w:rPr>
              <w:t>2019年合作的整车厂商还</w:t>
            </w:r>
            <w:r>
              <w:rPr>
                <w:rFonts w:hint="default" w:ascii="Times New Roman" w:hAnsi="Times New Roman" w:eastAsiaTheme="minorEastAsia"/>
                <w:lang w:val="en-US" w:eastAsia="zh-CN"/>
              </w:rPr>
              <w:t>在</w:t>
            </w:r>
            <w:r>
              <w:rPr>
                <w:rFonts w:hint="default" w:ascii="Times New Roman" w:hAnsi="Times New Roman" w:eastAsiaTheme="minorEastAsia"/>
              </w:rPr>
              <w:t>进一步拓展</w:t>
            </w:r>
            <w:r>
              <w:rPr>
                <w:rFonts w:hint="default" w:ascii="Times New Roman" w:hAnsi="Times New Roman" w:eastAsiaTheme="minorEastAsia"/>
                <w:lang w:eastAsia="zh-CN"/>
              </w:rPr>
              <w:t>。</w:t>
            </w:r>
          </w:p>
          <w:p>
            <w:pPr>
              <w:ind w:firstLine="420" w:firstLineChars="200"/>
              <w:rPr>
                <w:rFonts w:hint="default" w:ascii="Times New Roman" w:hAnsi="Times New Roman" w:eastAsiaTheme="minorEastAsia"/>
                <w:color w:val="FF0000"/>
                <w:lang w:val="en-US" w:eastAsia="zh-CN"/>
              </w:rPr>
            </w:pPr>
            <w:r>
              <w:rPr>
                <w:rFonts w:hint="default" w:ascii="Times New Roman" w:hAnsi="Times New Roman" w:eastAsiaTheme="minorEastAsia"/>
                <w:lang w:val="en-US" w:eastAsia="zh-CN"/>
              </w:rPr>
              <w:t>随着工信部正式发放5G商用牌照，</w:t>
            </w:r>
            <w:r>
              <w:rPr>
                <w:rFonts w:hint="default" w:ascii="Times New Roman" w:hAnsi="Times New Roman" w:eastAsiaTheme="minorEastAsia"/>
              </w:rPr>
              <w:t>5G车联网测试验证逐步完善，5G车联网大规模部署的条件日益成熟</w:t>
            </w:r>
            <w:r>
              <w:rPr>
                <w:rFonts w:hint="default" w:ascii="Times New Roman" w:hAnsi="Times New Roman" w:eastAsiaTheme="minorEastAsia"/>
                <w:lang w:eastAsia="zh-CN"/>
              </w:rPr>
              <w:t>，</w:t>
            </w:r>
            <w:r>
              <w:rPr>
                <w:rFonts w:hint="default" w:ascii="Times New Roman" w:hAnsi="Times New Roman" w:eastAsiaTheme="minorEastAsia"/>
                <w:lang w:val="en-US" w:eastAsia="zh-CN"/>
              </w:rPr>
              <w:t>高新兴会依托现有车载终端和电子车牌相关技术，向C-V2X车载设备和路侧设备布局，把握行业机遇，未来将</w:t>
            </w:r>
            <w:r>
              <w:rPr>
                <w:rFonts w:hint="default" w:ascii="Times New Roman" w:hAnsi="Times New Roman" w:eastAsiaTheme="minorEastAsia"/>
                <w:lang w:eastAsia="zh-CN"/>
              </w:rPr>
              <w:t>帮助车联网运营方构建人、车、路、网、云等多维协同的5G车联网。</w:t>
            </w:r>
            <w:r>
              <w:rPr>
                <w:rFonts w:hint="default" w:ascii="Times New Roman" w:hAnsi="Times New Roman" w:eastAsiaTheme="minorEastAsia"/>
                <w:color w:val="auto"/>
                <w:lang w:val="en-US" w:eastAsia="zh-CN"/>
              </w:rPr>
              <w:t>2019年公司拓展了更多的汽车厂商，今年公司车规级模组及车载终端的出货量情况要看车厂的发货情况。</w:t>
            </w:r>
          </w:p>
          <w:p>
            <w:pPr>
              <w:rPr>
                <w:rFonts w:hint="default" w:ascii="Times New Roman" w:hAnsi="Times New Roman" w:eastAsiaTheme="minorEastAsia"/>
                <w:b/>
                <w:bCs/>
                <w:lang w:val="en-US" w:eastAsia="zh-CN"/>
              </w:rPr>
            </w:pPr>
            <w:r>
              <w:rPr>
                <w:rFonts w:hint="default" w:ascii="Times New Roman" w:hAnsi="Times New Roman" w:eastAsiaTheme="minorEastAsia"/>
                <w:b/>
                <w:bCs/>
                <w:lang w:val="en-US" w:eastAsia="zh-CN"/>
              </w:rPr>
              <w:t>2、车联网领域和其他竞争对手的差异性</w:t>
            </w:r>
          </w:p>
          <w:p>
            <w:pPr>
              <w:ind w:firstLine="420" w:firstLineChars="200"/>
              <w:rPr>
                <w:rFonts w:hint="default" w:ascii="Times New Roman" w:hAnsi="Times New Roman" w:eastAsiaTheme="minorEastAsia"/>
                <w:lang w:val="en-US" w:eastAsia="zh-CN"/>
              </w:rPr>
            </w:pPr>
            <w:r>
              <w:rPr>
                <w:rFonts w:hint="default" w:ascii="Times New Roman" w:hAnsi="Times New Roman" w:eastAsiaTheme="minorEastAsia"/>
                <w:lang w:val="en-US" w:eastAsia="zh-CN"/>
              </w:rPr>
              <w:t>相比其他竞争对手，公司拥有从需求到研发、测试、生产、制造完整的体系及能力，贯彻“车载单元-车路协同-车联网平台-智慧交通应用”的纵向战略布局。公司已在车联网的车载端拥有绝对的优势，无论在前装市场还是后装市场，都取得了国内外著名企业的支持和认可；车联网通信产品和方案服务于英国、加拿大、瑞典、德国、墨西哥和西班牙等国家的运营商。 公司的交通业务已经覆盖城市交通管理、城市交通运输、公众出行服务、企业服务、轨道交通安全五大领域，逐渐实现车、路、人全覆盖的大交通物联网布局。</w:t>
            </w:r>
          </w:p>
          <w:p>
            <w:pPr>
              <w:rPr>
                <w:rFonts w:hint="default" w:ascii="Times New Roman" w:hAnsi="Times New Roman" w:eastAsiaTheme="minorEastAsia"/>
                <w:lang w:val="en-US" w:eastAsia="zh-CN"/>
              </w:rPr>
            </w:pPr>
            <w:r>
              <w:rPr>
                <w:rFonts w:hint="default" w:ascii="Times New Roman" w:hAnsi="Times New Roman" w:eastAsiaTheme="minorEastAsia"/>
              </w:rPr>
              <w:t> </w:t>
            </w:r>
            <w:r>
              <w:rPr>
                <w:rFonts w:hint="default" w:ascii="Times New Roman" w:hAnsi="Times New Roman" w:eastAsiaTheme="minorEastAsia"/>
                <w:lang w:val="en-US" w:eastAsia="zh-CN"/>
              </w:rPr>
              <w:t xml:space="preserve">  </w:t>
            </w:r>
            <w:r>
              <w:rPr>
                <w:rFonts w:hint="eastAsia" w:ascii="Times New Roman" w:hAnsi="Times New Roman" w:eastAsiaTheme="minorEastAsia"/>
                <w:lang w:val="en-US" w:eastAsia="zh-CN"/>
              </w:rPr>
              <w:t xml:space="preserve"> </w:t>
            </w:r>
            <w:r>
              <w:rPr>
                <w:rFonts w:hint="default" w:ascii="Times New Roman" w:hAnsi="Times New Roman" w:eastAsiaTheme="minorEastAsia"/>
                <w:lang w:val="en-US" w:eastAsia="zh-CN"/>
              </w:rPr>
              <w:t>基于 5G 时代的交通路侧的感知变革，高新兴关于交通执法端的深度融合以及平台的应用和服务等都在落地和发芽，打造自下而上从设备层、网络层到平台层的车联网整体解决方案，实现全息数据服务、全域智慧感知、全网信息发布和全时数据监测。</w:t>
            </w:r>
          </w:p>
          <w:p>
            <w:pPr>
              <w:rPr>
                <w:rFonts w:hint="default" w:ascii="Times New Roman" w:hAnsi="Times New Roman" w:eastAsiaTheme="minorEastAsia"/>
                <w:lang w:val="en-US" w:eastAsia="zh-CN"/>
              </w:rPr>
            </w:pPr>
            <w:r>
              <w:rPr>
                <w:rFonts w:hint="default" w:ascii="Times New Roman" w:hAnsi="Times New Roman" w:eastAsiaTheme="minorEastAsia"/>
                <w:lang w:val="en-US" w:eastAsia="zh-CN"/>
              </w:rPr>
              <w:t xml:space="preserve">  </w:t>
            </w:r>
            <w:r>
              <w:rPr>
                <w:rFonts w:hint="eastAsia" w:ascii="Times New Roman" w:hAnsi="Times New Roman" w:eastAsiaTheme="minorEastAsia"/>
                <w:lang w:val="en-US" w:eastAsia="zh-CN"/>
              </w:rPr>
              <w:t xml:space="preserve">  </w:t>
            </w:r>
            <w:r>
              <w:rPr>
                <w:rFonts w:hint="default" w:ascii="Times New Roman" w:hAnsi="Times New Roman" w:eastAsiaTheme="minorEastAsia"/>
                <w:lang w:val="en-US" w:eastAsia="zh-CN"/>
              </w:rPr>
              <w:t>高新兴目前的合作伙伴不仅仅重视公司在终端产品的能力，更加看重公司在应用端的积累和能力，这是高新兴的优势所在。所以公司会在</w:t>
            </w:r>
            <w:r>
              <w:rPr>
                <w:rFonts w:hint="default" w:ascii="Times New Roman" w:hAnsi="Times New Roman" w:eastAsiaTheme="minorEastAsia"/>
                <w:sz w:val="21"/>
              </w:rPr>
              <w:t>车联网领域</w:t>
            </w:r>
            <w:r>
              <w:rPr>
                <w:rFonts w:hint="default" w:ascii="Times New Roman" w:hAnsi="Times New Roman" w:eastAsiaTheme="minorEastAsia"/>
                <w:sz w:val="21"/>
                <w:lang w:eastAsia="zh-CN"/>
              </w:rPr>
              <w:t>将</w:t>
            </w:r>
            <w:r>
              <w:rPr>
                <w:rFonts w:hint="default" w:ascii="Times New Roman" w:hAnsi="Times New Roman" w:eastAsiaTheme="minorEastAsia"/>
                <w:sz w:val="21"/>
              </w:rPr>
              <w:t>智能交通、车载终端和路侧设备的</w:t>
            </w:r>
            <w:r>
              <w:rPr>
                <w:rFonts w:hint="default" w:ascii="Times New Roman" w:hAnsi="Times New Roman" w:eastAsiaTheme="minorEastAsia"/>
                <w:sz w:val="21"/>
                <w:lang w:eastAsia="zh-CN"/>
              </w:rPr>
              <w:t>业务和能力</w:t>
            </w:r>
            <w:r>
              <w:rPr>
                <w:rFonts w:hint="default" w:ascii="Times New Roman" w:hAnsi="Times New Roman" w:eastAsiaTheme="minorEastAsia"/>
                <w:sz w:val="21"/>
              </w:rPr>
              <w:t>融合</w:t>
            </w:r>
            <w:r>
              <w:rPr>
                <w:rFonts w:hint="default" w:ascii="Times New Roman" w:hAnsi="Times New Roman" w:eastAsiaTheme="minorEastAsia"/>
                <w:sz w:val="21"/>
                <w:lang w:eastAsia="zh-CN"/>
              </w:rPr>
              <w:t>与</w:t>
            </w:r>
            <w:r>
              <w:rPr>
                <w:rFonts w:hint="default" w:ascii="Times New Roman" w:hAnsi="Times New Roman" w:eastAsiaTheme="minorEastAsia"/>
                <w:sz w:val="21"/>
              </w:rPr>
              <w:t>打通</w:t>
            </w:r>
            <w:r>
              <w:rPr>
                <w:rFonts w:hint="default" w:ascii="Times New Roman" w:hAnsi="Times New Roman" w:eastAsiaTheme="minorEastAsia"/>
                <w:sz w:val="21"/>
                <w:lang w:eastAsia="zh-CN"/>
              </w:rPr>
              <w:t>，打造核心竞争力。</w:t>
            </w:r>
          </w:p>
          <w:p>
            <w:pPr>
              <w:rPr>
                <w:rFonts w:hint="default" w:ascii="Times New Roman" w:hAnsi="Times New Roman" w:eastAsiaTheme="minorEastAsia"/>
                <w:b/>
                <w:bCs/>
                <w:color w:val="auto"/>
              </w:rPr>
            </w:pPr>
            <w:r>
              <w:rPr>
                <w:rFonts w:hint="default" w:ascii="Times New Roman" w:hAnsi="Times New Roman" w:eastAsiaTheme="minorEastAsia"/>
                <w:b/>
                <w:bCs/>
                <w:color w:val="auto"/>
                <w:lang w:val="en-US" w:eastAsia="zh-CN"/>
              </w:rPr>
              <w:t>3、</w:t>
            </w:r>
            <w:r>
              <w:rPr>
                <w:rFonts w:hint="default" w:ascii="Times New Roman" w:hAnsi="Times New Roman" w:eastAsiaTheme="minorEastAsia"/>
                <w:b/>
                <w:bCs/>
                <w:color w:val="auto"/>
              </w:rPr>
              <w:t>中美贸易</w:t>
            </w:r>
            <w:r>
              <w:rPr>
                <w:rFonts w:hint="eastAsia" w:ascii="Times New Roman" w:hAnsi="Times New Roman" w:eastAsiaTheme="minorEastAsia"/>
                <w:b/>
                <w:bCs/>
                <w:color w:val="auto"/>
                <w:lang w:eastAsia="zh-CN"/>
              </w:rPr>
              <w:t>摩擦</w:t>
            </w:r>
            <w:r>
              <w:rPr>
                <w:rFonts w:hint="default" w:ascii="Times New Roman" w:hAnsi="Times New Roman" w:eastAsiaTheme="minorEastAsia"/>
                <w:b/>
                <w:bCs/>
                <w:color w:val="auto"/>
              </w:rPr>
              <w:t>影响下，公司在国际市场上面临的机会和挑战有哪些？</w:t>
            </w:r>
          </w:p>
          <w:p>
            <w:pPr>
              <w:ind w:firstLine="420" w:firstLineChars="200"/>
              <w:rPr>
                <w:rFonts w:hint="default" w:ascii="Times New Roman" w:hAnsi="Times New Roman" w:eastAsiaTheme="minorEastAsia"/>
                <w:lang w:eastAsia="zh-CN"/>
              </w:rPr>
            </w:pPr>
            <w:r>
              <w:rPr>
                <w:rFonts w:hint="default" w:ascii="Times New Roman" w:hAnsi="Times New Roman" w:eastAsiaTheme="minorEastAsia"/>
                <w:lang w:eastAsia="zh-CN"/>
              </w:rPr>
              <w:t>目前的市场形势对高新兴来说是一种机遇，给了中小体量公司发展的空间，面对当前的形势，高新兴通过自身在车联网领域的核心竞争力，与海内外客户保持着优质、长期的合作关系</w:t>
            </w:r>
            <w:r>
              <w:rPr>
                <w:rFonts w:hint="eastAsia" w:ascii="Times New Roman" w:hAnsi="Times New Roman" w:eastAsiaTheme="minorEastAsia"/>
                <w:lang w:eastAsia="zh-CN"/>
              </w:rPr>
              <w:t>，当前的宏观环境对于公司的发展既是挑战，也是机会</w:t>
            </w:r>
            <w:r>
              <w:rPr>
                <w:rFonts w:hint="default" w:ascii="Times New Roman" w:hAnsi="Times New Roman" w:eastAsiaTheme="minorEastAsia"/>
                <w:lang w:eastAsia="zh-CN"/>
              </w:rPr>
              <w:t>。</w:t>
            </w:r>
          </w:p>
          <w:p>
            <w:pPr>
              <w:rPr>
                <w:rFonts w:hint="default" w:ascii="Times New Roman" w:hAnsi="Times New Roman" w:eastAsiaTheme="minorEastAsia"/>
                <w:b/>
                <w:bCs/>
                <w:lang w:val="en-US" w:eastAsia="zh-CN"/>
              </w:rPr>
            </w:pPr>
            <w:r>
              <w:rPr>
                <w:rFonts w:hint="default" w:ascii="Times New Roman" w:hAnsi="Times New Roman" w:eastAsiaTheme="minorEastAsia"/>
                <w:b/>
                <w:bCs/>
                <w:lang w:val="en-US" w:eastAsia="zh-CN"/>
              </w:rPr>
              <w:t>4、集团内部各业务板块的未来如何融合和打通？</w:t>
            </w:r>
          </w:p>
          <w:p>
            <w:pPr>
              <w:ind w:firstLine="420" w:firstLineChars="200"/>
              <w:rPr>
                <w:rFonts w:hint="default" w:ascii="Times New Roman" w:hAnsi="Times New Roman" w:eastAsiaTheme="minorEastAsia"/>
                <w:lang w:val="en-US" w:eastAsia="zh-CN"/>
              </w:rPr>
            </w:pPr>
            <w:r>
              <w:rPr>
                <w:rFonts w:hint="default" w:ascii="Times New Roman" w:hAnsi="Times New Roman" w:eastAsiaTheme="minorEastAsia"/>
                <w:lang w:val="en-US" w:eastAsia="zh-CN"/>
              </w:rPr>
              <w:t>过去公司注重业务的增加和吸收，</w:t>
            </w:r>
            <w:r>
              <w:rPr>
                <w:rFonts w:hint="eastAsia" w:ascii="Times New Roman" w:hAnsi="Times New Roman" w:eastAsiaTheme="minorEastAsia"/>
                <w:lang w:val="en-US" w:eastAsia="zh-CN"/>
              </w:rPr>
              <w:t>多元化布局做加法</w:t>
            </w:r>
            <w:r>
              <w:rPr>
                <w:rFonts w:hint="default" w:ascii="Times New Roman" w:hAnsi="Times New Roman" w:eastAsiaTheme="minorEastAsia"/>
                <w:lang w:val="en-US" w:eastAsia="zh-CN"/>
              </w:rPr>
              <w:t>，未来公司会更加注重资源分配，通过业务的聚焦、组织架构的调整和整合，打通和共享营销、供应链、人力资源、技术开发等多个平台，通过减法来最优化集团资源配置，通过集团资源充分调配、促进公司更加长期、稳定、优质的发展。</w:t>
            </w:r>
          </w:p>
          <w:p>
            <w:pPr>
              <w:rPr>
                <w:rFonts w:hint="default" w:ascii="Times New Roman" w:hAnsi="Times New Roman" w:eastAsiaTheme="minorEastAsia"/>
                <w:b/>
                <w:bCs/>
                <w:lang w:val="en-US" w:eastAsia="zh-CN"/>
              </w:rPr>
            </w:pPr>
            <w:r>
              <w:rPr>
                <w:rFonts w:hint="default" w:ascii="Times New Roman" w:hAnsi="Times New Roman" w:eastAsiaTheme="minorEastAsia"/>
                <w:b/>
                <w:bCs/>
                <w:lang w:val="en-US" w:eastAsia="zh-CN"/>
              </w:rPr>
              <w:t>5、市场对</w:t>
            </w:r>
            <w:r>
              <w:rPr>
                <w:rFonts w:hint="eastAsia" w:ascii="Times New Roman" w:hAnsi="Times New Roman" w:eastAsiaTheme="minorEastAsia"/>
                <w:b/>
                <w:bCs/>
                <w:lang w:val="en-US" w:eastAsia="zh-CN"/>
              </w:rPr>
              <w:t>公司</w:t>
            </w:r>
            <w:r>
              <w:rPr>
                <w:rFonts w:hint="default" w:ascii="Times New Roman" w:hAnsi="Times New Roman" w:eastAsiaTheme="minorEastAsia"/>
                <w:b/>
                <w:bCs/>
                <w:lang w:val="en-US" w:eastAsia="zh-CN"/>
              </w:rPr>
              <w:t>车联网定位的认知还不明确，未来公司如何加强市场的宣传？</w:t>
            </w:r>
          </w:p>
          <w:p>
            <w:pPr>
              <w:ind w:firstLine="420" w:firstLineChars="200"/>
              <w:rPr>
                <w:rFonts w:hint="default" w:ascii="Times New Roman" w:hAnsi="Times New Roman" w:eastAsiaTheme="minorEastAsia"/>
                <w:lang w:val="en-US" w:eastAsia="zh-CN"/>
              </w:rPr>
            </w:pPr>
            <w:r>
              <w:rPr>
                <w:rFonts w:hint="default" w:ascii="Times New Roman" w:hAnsi="Times New Roman" w:eastAsiaTheme="minorEastAsia"/>
                <w:lang w:val="en-US" w:eastAsia="zh-CN"/>
              </w:rPr>
              <w:t>公司2019年已逐步加大在车联网领域的市场宣传，通过媒体宣传、新产品发布会等多种方式，参加世界移动大会（上海）、世界物联网博览会（无锡）等各大国际国内展会，展现公司车联网领域的核心能力，建立优质市场品牌形象，后续会持续加强车联网形象的塑造，扩大影响力。</w:t>
            </w:r>
          </w:p>
          <w:p>
            <w:pPr>
              <w:rPr>
                <w:rFonts w:hint="default" w:ascii="Times New Roman" w:hAnsi="Times New Roman" w:eastAsiaTheme="minorEastAsia"/>
                <w:b/>
                <w:bCs/>
                <w:lang w:val="en-US" w:eastAsia="zh-CN"/>
              </w:rPr>
            </w:pPr>
            <w:r>
              <w:rPr>
                <w:rFonts w:hint="default" w:ascii="Times New Roman" w:hAnsi="Times New Roman" w:eastAsiaTheme="minorEastAsia"/>
                <w:b/>
                <w:bCs/>
                <w:lang w:val="en-US" w:eastAsia="zh-CN"/>
              </w:rPr>
              <w:t>6、控股股东</w:t>
            </w:r>
            <w:r>
              <w:rPr>
                <w:rFonts w:hint="eastAsia" w:ascii="Times New Roman" w:hAnsi="Times New Roman" w:eastAsiaTheme="minorEastAsia"/>
                <w:b/>
                <w:bCs/>
                <w:lang w:val="en-US" w:eastAsia="zh-CN"/>
              </w:rPr>
              <w:t>股权</w:t>
            </w:r>
            <w:r>
              <w:rPr>
                <w:rFonts w:hint="default" w:ascii="Times New Roman" w:hAnsi="Times New Roman" w:eastAsiaTheme="minorEastAsia"/>
                <w:b/>
                <w:bCs/>
                <w:lang w:val="en-US" w:eastAsia="zh-CN"/>
              </w:rPr>
              <w:t>质押风险情况？</w:t>
            </w:r>
          </w:p>
          <w:p>
            <w:pPr>
              <w:ind w:firstLine="420" w:firstLineChars="200"/>
              <w:rPr>
                <w:rFonts w:hint="default" w:ascii="Times New Roman" w:hAnsi="Times New Roman" w:eastAsiaTheme="minorEastAsia"/>
                <w:lang w:val="en-US" w:eastAsia="zh-CN"/>
              </w:rPr>
            </w:pPr>
            <w:r>
              <w:rPr>
                <w:rFonts w:hint="default" w:ascii="Times New Roman" w:hAnsi="Times New Roman" w:eastAsiaTheme="minorEastAsia"/>
                <w:lang w:val="en-US" w:eastAsia="zh-CN"/>
              </w:rPr>
              <w:t>公司控股股东、董事长刘双广先生的股份较多都质押给</w:t>
            </w:r>
            <w:r>
              <w:rPr>
                <w:rFonts w:hint="eastAsia" w:ascii="Times New Roman" w:hAnsi="Times New Roman" w:eastAsiaTheme="minorEastAsia"/>
                <w:lang w:val="en-US" w:eastAsia="zh-CN"/>
              </w:rPr>
              <w:t>广州工行</w:t>
            </w:r>
            <w:r>
              <w:rPr>
                <w:rFonts w:hint="default" w:ascii="Times New Roman" w:hAnsi="Times New Roman" w:eastAsiaTheme="minorEastAsia"/>
                <w:lang w:val="en-US" w:eastAsia="zh-CN"/>
              </w:rPr>
              <w:t>。广州工行推出支持民营企业发展九条措施，为了支持民营上市企业稳定经营，通过场外股票质押的方式为民营骨干企业大股东提供融资支持，不设置警戒线和处置线，有利于缓解大股东质押问题，稳定上市公司股权治理结构，董事长股权质押风险较小。</w:t>
            </w:r>
          </w:p>
          <w:p>
            <w:pPr>
              <w:rPr>
                <w:rFonts w:hint="default" w:ascii="Times New Roman" w:hAnsi="Times New Roman" w:eastAsiaTheme="minorEastAsia"/>
                <w:b/>
                <w:bCs/>
                <w:sz w:val="24"/>
                <w:lang w:eastAsia="zh-CN"/>
              </w:rPr>
            </w:pPr>
            <w:r>
              <w:rPr>
                <w:rFonts w:hint="default" w:ascii="Times New Roman" w:hAnsi="Times New Roman" w:cs="Times New Roman" w:eastAsiaTheme="minorEastAsia"/>
                <w:b/>
                <w:bCs/>
                <w:i w:val="0"/>
                <w:caps w:val="0"/>
                <w:color w:val="333333"/>
                <w:spacing w:val="0"/>
                <w:sz w:val="24"/>
                <w:szCs w:val="24"/>
                <w:shd w:val="clear" w:fill="FFFFFF"/>
                <w:lang w:val="en-US" w:eastAsia="zh-CN"/>
              </w:rPr>
              <w:t>7、</w:t>
            </w:r>
            <w:r>
              <w:rPr>
                <w:rFonts w:hint="default" w:ascii="Times New Roman" w:hAnsi="Times New Roman" w:eastAsiaTheme="minorEastAsia"/>
                <w:b/>
                <w:bCs/>
                <w:szCs w:val="21"/>
              </w:rPr>
              <w:t>公司回款情况</w:t>
            </w:r>
            <w:r>
              <w:rPr>
                <w:rFonts w:hint="default" w:ascii="Times New Roman" w:hAnsi="Times New Roman" w:eastAsiaTheme="minorEastAsia"/>
                <w:b/>
                <w:bCs/>
                <w:szCs w:val="21"/>
                <w:lang w:eastAsia="zh-CN"/>
              </w:rPr>
              <w:t>及</w:t>
            </w:r>
            <w:r>
              <w:rPr>
                <w:rFonts w:hint="default" w:ascii="Times New Roman" w:hAnsi="Times New Roman" w:eastAsiaTheme="minorEastAsia"/>
                <w:b/>
                <w:bCs/>
                <w:szCs w:val="21"/>
              </w:rPr>
              <w:t>商誉后续如何处理</w:t>
            </w:r>
            <w:r>
              <w:rPr>
                <w:rFonts w:hint="default" w:ascii="Times New Roman" w:hAnsi="Times New Roman" w:eastAsiaTheme="minorEastAsia"/>
                <w:b/>
                <w:bCs/>
                <w:szCs w:val="21"/>
                <w:lang w:eastAsia="zh-CN"/>
              </w:rPr>
              <w:t>？</w:t>
            </w:r>
          </w:p>
          <w:p>
            <w:pPr>
              <w:numPr>
                <w:ilvl w:val="0"/>
                <w:numId w:val="0"/>
              </w:numPr>
              <w:spacing w:line="240" w:lineRule="auto"/>
              <w:ind w:left="0" w:leftChars="0" w:firstLine="420" w:firstLineChars="200"/>
              <w:jc w:val="left"/>
              <w:rPr>
                <w:rFonts w:hint="default" w:ascii="Times New Roman" w:hAnsi="Times New Roman" w:eastAsiaTheme="minorEastAsia"/>
                <w:lang w:val="en-US" w:eastAsia="zh-CN"/>
              </w:rPr>
            </w:pPr>
            <w:r>
              <w:rPr>
                <w:rFonts w:hint="default" w:ascii="Times New Roman" w:hAnsi="Times New Roman" w:eastAsiaTheme="minorEastAsia"/>
                <w:lang w:val="en-US" w:eastAsia="zh-CN"/>
              </w:rPr>
              <w:t>高新兴正从项目集成型向产品经营型公司转变，未来集成项目占整体营收的比重仍会进一步下调。通过不断调整收入结构，公司的现金流和应收账款的情况都会得到改善。公司商誉主要来自收购物联公司和创联公司，两家公司业务目前发展良好，保持稳定增长，两家公司暂无商誉减值风险。</w:t>
            </w:r>
          </w:p>
          <w:p>
            <w:pPr>
              <w:numPr>
                <w:ilvl w:val="-1"/>
                <w:numId w:val="0"/>
              </w:numPr>
              <w:spacing w:line="240" w:lineRule="auto"/>
              <w:ind w:left="0" w:leftChars="0" w:firstLine="0" w:firstLineChars="0"/>
              <w:jc w:val="left"/>
              <w:rPr>
                <w:rFonts w:hint="default" w:ascii="Times New Roman" w:hAnsi="Times New Roman" w:eastAsiaTheme="minorEastAsia"/>
                <w:b/>
                <w:bCs/>
                <w:color w:val="333333"/>
                <w:sz w:val="24"/>
                <w:shd w:val="clear" w:fill="FFFFFF"/>
                <w:lang w:val="en-US" w:eastAsia="zh-CN"/>
              </w:rPr>
            </w:pPr>
            <w:r>
              <w:rPr>
                <w:rFonts w:hint="default" w:ascii="Times New Roman" w:hAnsi="Times New Roman" w:cs="Times New Roman" w:eastAsiaTheme="minorEastAsia"/>
                <w:b/>
                <w:bCs/>
                <w:color w:val="333333"/>
                <w:sz w:val="24"/>
                <w:shd w:val="clear" w:fill="FFFFFF"/>
                <w:lang w:val="en-US" w:eastAsia="zh-CN"/>
              </w:rPr>
              <w:t>8、</w:t>
            </w:r>
            <w:r>
              <w:rPr>
                <w:rFonts w:hint="default" w:ascii="Times New Roman" w:hAnsi="Times New Roman" w:eastAsiaTheme="minorEastAsia"/>
                <w:b/>
                <w:bCs/>
                <w:color w:val="333333"/>
                <w:szCs w:val="21"/>
                <w:shd w:val="clear" w:fill="FFFFFF"/>
                <w:lang w:val="en-US" w:eastAsia="zh-CN"/>
              </w:rPr>
              <w:t>电子车牌目前进展情况如何？</w:t>
            </w:r>
          </w:p>
          <w:p>
            <w:pPr>
              <w:numPr>
                <w:ilvl w:val="-1"/>
                <w:numId w:val="0"/>
              </w:numPr>
              <w:spacing w:line="240" w:lineRule="auto"/>
              <w:ind w:left="0" w:leftChars="0" w:firstLine="420" w:firstLineChars="200"/>
              <w:jc w:val="left"/>
              <w:rPr>
                <w:rFonts w:hint="eastAsia" w:eastAsia="宋体"/>
                <w:lang w:val="en-US" w:eastAsia="zh-CN"/>
              </w:rPr>
            </w:pPr>
            <w:r>
              <w:rPr>
                <w:rFonts w:hint="default" w:ascii="Times New Roman" w:hAnsi="Times New Roman" w:eastAsiaTheme="minorEastAsia"/>
              </w:rPr>
              <w:t>公司电子车牌业务2018年营收2.15亿元，较2017年营收翻番，盈利情况良好。公司除了在重庆已拥有国内建设规模最大、系统最完善的电子车牌运营管理系统以外，在无锡、深圳、北京、天津等国内大城市都有落地</w:t>
            </w:r>
            <w:r>
              <w:rPr>
                <w:rFonts w:hint="default" w:ascii="Times New Roman" w:hAnsi="Times New Roman" w:eastAsiaTheme="minorEastAsia"/>
                <w:lang w:eastAsia="zh-CN"/>
              </w:rPr>
              <w:t>，</w:t>
            </w:r>
            <w:r>
              <w:rPr>
                <w:rFonts w:hint="default" w:ascii="Times New Roman" w:hAnsi="Times New Roman" w:eastAsiaTheme="minorEastAsia"/>
              </w:rPr>
              <w:t>20</w:t>
            </w:r>
            <w:bookmarkStart w:id="0" w:name="_GoBack"/>
            <w:bookmarkEnd w:id="0"/>
            <w:r>
              <w:rPr>
                <w:rFonts w:hint="default" w:ascii="Times New Roman" w:hAnsi="Times New Roman" w:eastAsiaTheme="minorEastAsia"/>
              </w:rPr>
              <w:t>19年2月，公司独家中标武汉市汽车电子标识试点工程项目；此外，还实现承德汽车电子标识项目的战略布点</w:t>
            </w:r>
            <w:r>
              <w:rPr>
                <w:rFonts w:hint="default" w:ascii="Times New Roman" w:hAnsi="Times New Roman" w:eastAsiaTheme="minorEastAsia"/>
                <w:lang w:eastAsia="zh-CN"/>
              </w:rPr>
              <w:t>，目前</w:t>
            </w:r>
            <w:r>
              <w:rPr>
                <w:rFonts w:hint="default" w:ascii="Times New Roman" w:hAnsi="Times New Roman" w:cs="Times New Roman" w:eastAsiaTheme="minorEastAsia"/>
                <w:b w:val="0"/>
                <w:i w:val="0"/>
                <w:caps w:val="0"/>
                <w:color w:val="000000"/>
                <w:spacing w:val="0"/>
                <w:sz w:val="21"/>
                <w:szCs w:val="24"/>
                <w:shd w:val="clear" w:fill="auto"/>
              </w:rPr>
              <w:t>全国</w:t>
            </w:r>
            <w:r>
              <w:rPr>
                <w:rFonts w:hint="default" w:ascii="Times New Roman" w:hAnsi="Times New Roman" w:cs="Times New Roman" w:eastAsiaTheme="minorEastAsia"/>
                <w:b w:val="0"/>
                <w:i w:val="0"/>
                <w:caps w:val="0"/>
                <w:spacing w:val="0"/>
                <w:sz w:val="21"/>
                <w:szCs w:val="24"/>
                <w:shd w:val="clear"/>
                <w:lang w:eastAsia="zh-CN"/>
              </w:rPr>
              <w:t>一些</w:t>
            </w:r>
            <w:r>
              <w:rPr>
                <w:rFonts w:hint="default" w:ascii="Times New Roman" w:hAnsi="Times New Roman" w:cs="Times New Roman" w:eastAsiaTheme="minorEastAsia"/>
                <w:b w:val="0"/>
                <w:i w:val="0"/>
                <w:caps w:val="0"/>
                <w:color w:val="000000"/>
                <w:spacing w:val="0"/>
                <w:sz w:val="21"/>
                <w:szCs w:val="24"/>
                <w:shd w:val="clear" w:fill="auto"/>
              </w:rPr>
              <w:t>其他城市</w:t>
            </w:r>
            <w:r>
              <w:rPr>
                <w:rFonts w:hint="default" w:ascii="Times New Roman" w:hAnsi="Times New Roman" w:cs="Times New Roman" w:eastAsiaTheme="minorEastAsia"/>
                <w:b w:val="0"/>
                <w:i w:val="0"/>
                <w:caps w:val="0"/>
                <w:spacing w:val="0"/>
                <w:sz w:val="21"/>
                <w:szCs w:val="24"/>
                <w:shd w:val="clear"/>
                <w:lang w:eastAsia="zh-CN"/>
              </w:rPr>
              <w:t>也正</w:t>
            </w:r>
            <w:r>
              <w:rPr>
                <w:rFonts w:hint="default" w:ascii="Times New Roman" w:hAnsi="Times New Roman" w:cs="Times New Roman" w:eastAsiaTheme="minorEastAsia"/>
                <w:b w:val="0"/>
                <w:i w:val="0"/>
                <w:caps w:val="0"/>
                <w:color w:val="000000"/>
                <w:spacing w:val="0"/>
                <w:sz w:val="21"/>
                <w:szCs w:val="24"/>
                <w:shd w:val="clear" w:fill="auto"/>
              </w:rPr>
              <w:t>在做项目立项工作</w:t>
            </w:r>
            <w:r>
              <w:rPr>
                <w:rFonts w:hint="default" w:ascii="Times New Roman" w:hAnsi="Times New Roman" w:cs="Times New Roman" w:eastAsiaTheme="minorEastAsia"/>
                <w:b w:val="0"/>
                <w:i w:val="0"/>
                <w:caps w:val="0"/>
                <w:spacing w:val="0"/>
                <w:sz w:val="21"/>
                <w:szCs w:val="24"/>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附件清单（如有）</w:t>
            </w:r>
          </w:p>
        </w:tc>
        <w:tc>
          <w:tcPr>
            <w:tcW w:w="63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宋体"/>
                <w:bCs/>
                <w:iCs/>
                <w:color w:val="000000"/>
                <w:szCs w:val="21"/>
              </w:rPr>
            </w:pPr>
            <w:r>
              <w:rPr>
                <w:rFonts w:ascii="Times New Roman" w:hAnsi="Times New Roman" w:eastAsia="宋体"/>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AF7"/>
    <w:rsid w:val="000309DD"/>
    <w:rsid w:val="00052D71"/>
    <w:rsid w:val="0006544D"/>
    <w:rsid w:val="000740B9"/>
    <w:rsid w:val="0009694D"/>
    <w:rsid w:val="000A6E2E"/>
    <w:rsid w:val="000E2EDB"/>
    <w:rsid w:val="000F141A"/>
    <w:rsid w:val="000F5440"/>
    <w:rsid w:val="000F7885"/>
    <w:rsid w:val="0012327A"/>
    <w:rsid w:val="00140058"/>
    <w:rsid w:val="00144C7C"/>
    <w:rsid w:val="00150E47"/>
    <w:rsid w:val="001564B1"/>
    <w:rsid w:val="0016100C"/>
    <w:rsid w:val="00161D1E"/>
    <w:rsid w:val="001632E2"/>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3011AB"/>
    <w:rsid w:val="0033260C"/>
    <w:rsid w:val="00335B8D"/>
    <w:rsid w:val="003478FD"/>
    <w:rsid w:val="00355E8A"/>
    <w:rsid w:val="00373FA7"/>
    <w:rsid w:val="0038184A"/>
    <w:rsid w:val="00383326"/>
    <w:rsid w:val="00393126"/>
    <w:rsid w:val="003A2DCA"/>
    <w:rsid w:val="003A7A09"/>
    <w:rsid w:val="003B1CF1"/>
    <w:rsid w:val="003B34D5"/>
    <w:rsid w:val="003B5E0B"/>
    <w:rsid w:val="003C18FD"/>
    <w:rsid w:val="003D1C50"/>
    <w:rsid w:val="003D5D01"/>
    <w:rsid w:val="003F0277"/>
    <w:rsid w:val="00416690"/>
    <w:rsid w:val="0042585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306E"/>
    <w:rsid w:val="00564E52"/>
    <w:rsid w:val="00592687"/>
    <w:rsid w:val="005B76A5"/>
    <w:rsid w:val="005C2E0C"/>
    <w:rsid w:val="005D2335"/>
    <w:rsid w:val="005D445A"/>
    <w:rsid w:val="005E2819"/>
    <w:rsid w:val="00601167"/>
    <w:rsid w:val="006133B9"/>
    <w:rsid w:val="00620525"/>
    <w:rsid w:val="006376E6"/>
    <w:rsid w:val="006429D2"/>
    <w:rsid w:val="006633B5"/>
    <w:rsid w:val="00664427"/>
    <w:rsid w:val="0066721E"/>
    <w:rsid w:val="00672FD1"/>
    <w:rsid w:val="00676307"/>
    <w:rsid w:val="00691F80"/>
    <w:rsid w:val="006A5756"/>
    <w:rsid w:val="006B40C6"/>
    <w:rsid w:val="006E4082"/>
    <w:rsid w:val="00715140"/>
    <w:rsid w:val="00724C01"/>
    <w:rsid w:val="007353F8"/>
    <w:rsid w:val="0075232D"/>
    <w:rsid w:val="00754FA0"/>
    <w:rsid w:val="00762475"/>
    <w:rsid w:val="00766411"/>
    <w:rsid w:val="00770DCD"/>
    <w:rsid w:val="0077140A"/>
    <w:rsid w:val="007A389C"/>
    <w:rsid w:val="007B3AF8"/>
    <w:rsid w:val="007C3881"/>
    <w:rsid w:val="007C6C1A"/>
    <w:rsid w:val="007D4F50"/>
    <w:rsid w:val="007D7A6E"/>
    <w:rsid w:val="007D7CC9"/>
    <w:rsid w:val="007E2C99"/>
    <w:rsid w:val="007E61A5"/>
    <w:rsid w:val="007F1227"/>
    <w:rsid w:val="007F222C"/>
    <w:rsid w:val="00823FE2"/>
    <w:rsid w:val="00834423"/>
    <w:rsid w:val="00851610"/>
    <w:rsid w:val="00863A76"/>
    <w:rsid w:val="008951BD"/>
    <w:rsid w:val="008A62A0"/>
    <w:rsid w:val="008B24D4"/>
    <w:rsid w:val="008B63AC"/>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9190C"/>
    <w:rsid w:val="009A4432"/>
    <w:rsid w:val="009B15AA"/>
    <w:rsid w:val="009B7732"/>
    <w:rsid w:val="009D1819"/>
    <w:rsid w:val="009F2899"/>
    <w:rsid w:val="009F4AF7"/>
    <w:rsid w:val="009F7E5A"/>
    <w:rsid w:val="00A1524C"/>
    <w:rsid w:val="00A26B42"/>
    <w:rsid w:val="00A43F63"/>
    <w:rsid w:val="00A63447"/>
    <w:rsid w:val="00A736D4"/>
    <w:rsid w:val="00A74FBC"/>
    <w:rsid w:val="00A86318"/>
    <w:rsid w:val="00A93916"/>
    <w:rsid w:val="00AA7A39"/>
    <w:rsid w:val="00AB69A3"/>
    <w:rsid w:val="00AE12EE"/>
    <w:rsid w:val="00AE6A56"/>
    <w:rsid w:val="00AF58DD"/>
    <w:rsid w:val="00B02061"/>
    <w:rsid w:val="00B22A81"/>
    <w:rsid w:val="00B33A3D"/>
    <w:rsid w:val="00B37341"/>
    <w:rsid w:val="00B402C2"/>
    <w:rsid w:val="00B6688F"/>
    <w:rsid w:val="00B7782A"/>
    <w:rsid w:val="00B81F92"/>
    <w:rsid w:val="00B91A17"/>
    <w:rsid w:val="00B93801"/>
    <w:rsid w:val="00B93EC7"/>
    <w:rsid w:val="00BD2D86"/>
    <w:rsid w:val="00BD722E"/>
    <w:rsid w:val="00BD78DE"/>
    <w:rsid w:val="00BE4AAE"/>
    <w:rsid w:val="00C22E3D"/>
    <w:rsid w:val="00C33CDB"/>
    <w:rsid w:val="00C47F64"/>
    <w:rsid w:val="00C5660E"/>
    <w:rsid w:val="00C66AE3"/>
    <w:rsid w:val="00C744C2"/>
    <w:rsid w:val="00C840F0"/>
    <w:rsid w:val="00CB16AC"/>
    <w:rsid w:val="00CB6561"/>
    <w:rsid w:val="00CD1309"/>
    <w:rsid w:val="00CD7591"/>
    <w:rsid w:val="00CE4802"/>
    <w:rsid w:val="00D053C0"/>
    <w:rsid w:val="00D26FB6"/>
    <w:rsid w:val="00D7053C"/>
    <w:rsid w:val="00D70545"/>
    <w:rsid w:val="00D81BC9"/>
    <w:rsid w:val="00D838F3"/>
    <w:rsid w:val="00D855CF"/>
    <w:rsid w:val="00D94A9E"/>
    <w:rsid w:val="00DA7D44"/>
    <w:rsid w:val="00DB1549"/>
    <w:rsid w:val="00DB1D4F"/>
    <w:rsid w:val="00DD3439"/>
    <w:rsid w:val="00DE5F46"/>
    <w:rsid w:val="00E26A56"/>
    <w:rsid w:val="00E43F00"/>
    <w:rsid w:val="00E45F51"/>
    <w:rsid w:val="00E46532"/>
    <w:rsid w:val="00E50359"/>
    <w:rsid w:val="00E64773"/>
    <w:rsid w:val="00E83C6C"/>
    <w:rsid w:val="00EB669B"/>
    <w:rsid w:val="00EB6D5C"/>
    <w:rsid w:val="00EC2172"/>
    <w:rsid w:val="00EC78DC"/>
    <w:rsid w:val="00EE4EFA"/>
    <w:rsid w:val="00F03150"/>
    <w:rsid w:val="00F258D9"/>
    <w:rsid w:val="00F6080C"/>
    <w:rsid w:val="00F70A19"/>
    <w:rsid w:val="00F82854"/>
    <w:rsid w:val="00F83FD0"/>
    <w:rsid w:val="00F868DD"/>
    <w:rsid w:val="00F902A7"/>
    <w:rsid w:val="00F9455B"/>
    <w:rsid w:val="00F94C1D"/>
    <w:rsid w:val="00FA3584"/>
    <w:rsid w:val="00FA4EAF"/>
    <w:rsid w:val="00FB233F"/>
    <w:rsid w:val="00FF379B"/>
    <w:rsid w:val="02020072"/>
    <w:rsid w:val="02BD4372"/>
    <w:rsid w:val="03627609"/>
    <w:rsid w:val="03D73223"/>
    <w:rsid w:val="04433E88"/>
    <w:rsid w:val="06645B08"/>
    <w:rsid w:val="07CE4416"/>
    <w:rsid w:val="0867184C"/>
    <w:rsid w:val="090A738B"/>
    <w:rsid w:val="096C38B7"/>
    <w:rsid w:val="09A8777C"/>
    <w:rsid w:val="09B36B31"/>
    <w:rsid w:val="09D7104D"/>
    <w:rsid w:val="0A9B5B54"/>
    <w:rsid w:val="0B5C0E15"/>
    <w:rsid w:val="0BB32E44"/>
    <w:rsid w:val="0DA25A50"/>
    <w:rsid w:val="0DB83143"/>
    <w:rsid w:val="0DBA2D0F"/>
    <w:rsid w:val="0DE3239A"/>
    <w:rsid w:val="0E13091C"/>
    <w:rsid w:val="12533A46"/>
    <w:rsid w:val="12554EFB"/>
    <w:rsid w:val="12896B3E"/>
    <w:rsid w:val="13DB0F4E"/>
    <w:rsid w:val="144E03CF"/>
    <w:rsid w:val="14B50D3F"/>
    <w:rsid w:val="153A0651"/>
    <w:rsid w:val="155B4AE2"/>
    <w:rsid w:val="15CC2118"/>
    <w:rsid w:val="15E7238B"/>
    <w:rsid w:val="161E3919"/>
    <w:rsid w:val="162D6186"/>
    <w:rsid w:val="16442A37"/>
    <w:rsid w:val="164C3629"/>
    <w:rsid w:val="177744EB"/>
    <w:rsid w:val="17FE779D"/>
    <w:rsid w:val="18CA7CCD"/>
    <w:rsid w:val="18D05710"/>
    <w:rsid w:val="19F43EA9"/>
    <w:rsid w:val="1A373E27"/>
    <w:rsid w:val="1B793CFC"/>
    <w:rsid w:val="1C372BD8"/>
    <w:rsid w:val="1C6E70D7"/>
    <w:rsid w:val="1D153B53"/>
    <w:rsid w:val="1D973CA1"/>
    <w:rsid w:val="204F5563"/>
    <w:rsid w:val="21A53A2A"/>
    <w:rsid w:val="227A6273"/>
    <w:rsid w:val="231B1879"/>
    <w:rsid w:val="23313355"/>
    <w:rsid w:val="23532B2F"/>
    <w:rsid w:val="23710F43"/>
    <w:rsid w:val="2496713E"/>
    <w:rsid w:val="24BE0EC8"/>
    <w:rsid w:val="258A2F94"/>
    <w:rsid w:val="25A10939"/>
    <w:rsid w:val="25DC5E37"/>
    <w:rsid w:val="26466A36"/>
    <w:rsid w:val="266E6EC0"/>
    <w:rsid w:val="26EE4488"/>
    <w:rsid w:val="27900456"/>
    <w:rsid w:val="27B63572"/>
    <w:rsid w:val="27CC2FFC"/>
    <w:rsid w:val="28D82D64"/>
    <w:rsid w:val="28FE79F5"/>
    <w:rsid w:val="29100149"/>
    <w:rsid w:val="2922555B"/>
    <w:rsid w:val="2A3C4A25"/>
    <w:rsid w:val="2AD6609D"/>
    <w:rsid w:val="2C1D303F"/>
    <w:rsid w:val="2D031D8C"/>
    <w:rsid w:val="2D04268A"/>
    <w:rsid w:val="2D9062E6"/>
    <w:rsid w:val="2DCC79A8"/>
    <w:rsid w:val="2E110C0F"/>
    <w:rsid w:val="2E306053"/>
    <w:rsid w:val="2E735844"/>
    <w:rsid w:val="2EFA3A1E"/>
    <w:rsid w:val="2FCB16B2"/>
    <w:rsid w:val="2FDF1F05"/>
    <w:rsid w:val="31C61E33"/>
    <w:rsid w:val="31CB2FF8"/>
    <w:rsid w:val="32BA3DD6"/>
    <w:rsid w:val="33220658"/>
    <w:rsid w:val="33ED213B"/>
    <w:rsid w:val="34506B7F"/>
    <w:rsid w:val="35185E2B"/>
    <w:rsid w:val="352C6D80"/>
    <w:rsid w:val="3626011B"/>
    <w:rsid w:val="363825F5"/>
    <w:rsid w:val="36B20502"/>
    <w:rsid w:val="36F92C86"/>
    <w:rsid w:val="37AA683A"/>
    <w:rsid w:val="38F972B1"/>
    <w:rsid w:val="39632569"/>
    <w:rsid w:val="3A2D2BD5"/>
    <w:rsid w:val="3A981A22"/>
    <w:rsid w:val="3D4456E2"/>
    <w:rsid w:val="3EF53FFA"/>
    <w:rsid w:val="3F9310F8"/>
    <w:rsid w:val="3FD5595A"/>
    <w:rsid w:val="3FFF0FB8"/>
    <w:rsid w:val="402F65CE"/>
    <w:rsid w:val="41677507"/>
    <w:rsid w:val="41BE3F5E"/>
    <w:rsid w:val="41D836BB"/>
    <w:rsid w:val="44000925"/>
    <w:rsid w:val="45BC7566"/>
    <w:rsid w:val="45C96118"/>
    <w:rsid w:val="46BC5812"/>
    <w:rsid w:val="46D35917"/>
    <w:rsid w:val="47016A84"/>
    <w:rsid w:val="475B0355"/>
    <w:rsid w:val="47787013"/>
    <w:rsid w:val="47AB6411"/>
    <w:rsid w:val="47C9204B"/>
    <w:rsid w:val="497546DE"/>
    <w:rsid w:val="4A0E6E1E"/>
    <w:rsid w:val="4A715053"/>
    <w:rsid w:val="4B000BF6"/>
    <w:rsid w:val="4B941B11"/>
    <w:rsid w:val="4BCA7E83"/>
    <w:rsid w:val="4DAA7DB4"/>
    <w:rsid w:val="4E184F7F"/>
    <w:rsid w:val="4F514EC3"/>
    <w:rsid w:val="4F8A3F75"/>
    <w:rsid w:val="4FB231B0"/>
    <w:rsid w:val="5031572A"/>
    <w:rsid w:val="506D5550"/>
    <w:rsid w:val="50FF2A46"/>
    <w:rsid w:val="5113429C"/>
    <w:rsid w:val="514C48D6"/>
    <w:rsid w:val="518B635C"/>
    <w:rsid w:val="51B23B59"/>
    <w:rsid w:val="51C001A0"/>
    <w:rsid w:val="5391694B"/>
    <w:rsid w:val="542A30D8"/>
    <w:rsid w:val="54BB7174"/>
    <w:rsid w:val="55D40E91"/>
    <w:rsid w:val="56BB0C0E"/>
    <w:rsid w:val="57742C7C"/>
    <w:rsid w:val="57E748D2"/>
    <w:rsid w:val="57FC65FB"/>
    <w:rsid w:val="588033EC"/>
    <w:rsid w:val="590375A6"/>
    <w:rsid w:val="59FB6DB1"/>
    <w:rsid w:val="5AE93763"/>
    <w:rsid w:val="5B7C5113"/>
    <w:rsid w:val="5B9D2225"/>
    <w:rsid w:val="5BFF7929"/>
    <w:rsid w:val="5C435500"/>
    <w:rsid w:val="5C545C14"/>
    <w:rsid w:val="5E3927AA"/>
    <w:rsid w:val="5FFB1252"/>
    <w:rsid w:val="6056164C"/>
    <w:rsid w:val="609903B3"/>
    <w:rsid w:val="611F37C6"/>
    <w:rsid w:val="61856D84"/>
    <w:rsid w:val="621C496A"/>
    <w:rsid w:val="62B67235"/>
    <w:rsid w:val="63F43A2A"/>
    <w:rsid w:val="67BE221D"/>
    <w:rsid w:val="68540871"/>
    <w:rsid w:val="6A9A4C71"/>
    <w:rsid w:val="6C2767E2"/>
    <w:rsid w:val="6CEA579A"/>
    <w:rsid w:val="6D4F2E55"/>
    <w:rsid w:val="6D9918FF"/>
    <w:rsid w:val="6E8142DD"/>
    <w:rsid w:val="6F731A83"/>
    <w:rsid w:val="6FE01EBA"/>
    <w:rsid w:val="701C14E9"/>
    <w:rsid w:val="705B5D9A"/>
    <w:rsid w:val="70B05621"/>
    <w:rsid w:val="713D3625"/>
    <w:rsid w:val="733C0B34"/>
    <w:rsid w:val="7365125A"/>
    <w:rsid w:val="75BD3D27"/>
    <w:rsid w:val="76027154"/>
    <w:rsid w:val="77486B4D"/>
    <w:rsid w:val="77DC291F"/>
    <w:rsid w:val="785B27A8"/>
    <w:rsid w:val="78DB7236"/>
    <w:rsid w:val="7A0A43E7"/>
    <w:rsid w:val="7A864847"/>
    <w:rsid w:val="7B224551"/>
    <w:rsid w:val="7B666ECA"/>
    <w:rsid w:val="7D6527D7"/>
    <w:rsid w:val="7D7B2E72"/>
    <w:rsid w:val="7DB77458"/>
    <w:rsid w:val="7DF2527D"/>
    <w:rsid w:val="7E964242"/>
    <w:rsid w:val="7EE72DC0"/>
    <w:rsid w:val="7F222F63"/>
    <w:rsid w:val="7F2501D5"/>
    <w:rsid w:val="7F4C60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0"/>
    <w:unhideWhenUsed/>
    <w:qFormat/>
    <w:uiPriority w:val="99"/>
    <w:rPr>
      <w:b/>
      <w:bCs/>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styleId="11">
    <w:name w:val="annotation reference"/>
    <w:basedOn w:val="8"/>
    <w:unhideWhenUsed/>
    <w:qFormat/>
    <w:uiPriority w:val="0"/>
    <w:rPr>
      <w:sz w:val="21"/>
      <w:szCs w:val="21"/>
    </w:rPr>
  </w:style>
  <w:style w:type="paragraph" w:styleId="12">
    <w:name w:val="List Paragraph"/>
    <w:basedOn w:val="1"/>
    <w:qFormat/>
    <w:uiPriority w:val="34"/>
    <w:pPr>
      <w:ind w:firstLine="420" w:firstLineChars="200"/>
    </w:pPr>
  </w:style>
  <w:style w:type="paragraph" w:customStyle="1" w:styleId="13">
    <w:name w:val="修订1"/>
    <w:semiHidden/>
    <w:qFormat/>
    <w:uiPriority w:val="99"/>
    <w:rPr>
      <w:rFonts w:ascii="Calibri" w:hAnsi="Calibri" w:eastAsia="宋体" w:cs="Times New Roman"/>
      <w:kern w:val="2"/>
      <w:sz w:val="21"/>
      <w:szCs w:val="24"/>
      <w:lang w:val="en-US" w:eastAsia="zh-CN" w:bidi="ar-SA"/>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批注文字 Char"/>
    <w:basedOn w:val="8"/>
    <w:link w:val="2"/>
    <w:semiHidden/>
    <w:qFormat/>
    <w:uiPriority w:val="99"/>
    <w:rPr>
      <w:rFonts w:ascii="Calibri" w:hAnsi="Calibri"/>
      <w:kern w:val="2"/>
      <w:sz w:val="21"/>
      <w:szCs w:val="24"/>
    </w:rPr>
  </w:style>
  <w:style w:type="character" w:customStyle="1" w:styleId="17">
    <w:name w:val="18"/>
    <w:unhideWhenUsed/>
    <w:qFormat/>
    <w:uiPriority w:val="0"/>
    <w:rPr>
      <w:color w:val="000000"/>
      <w:sz w:val="18"/>
    </w:rPr>
  </w:style>
  <w:style w:type="character" w:customStyle="1" w:styleId="18">
    <w:name w:val="批注框文本 Char"/>
    <w:basedOn w:val="8"/>
    <w:link w:val="3"/>
    <w:semiHidden/>
    <w:qFormat/>
    <w:uiPriority w:val="99"/>
    <w:rPr>
      <w:rFonts w:ascii="Calibri" w:hAnsi="Calibri"/>
      <w:kern w:val="2"/>
      <w:sz w:val="18"/>
      <w:szCs w:val="18"/>
    </w:rPr>
  </w:style>
  <w:style w:type="character" w:customStyle="1" w:styleId="19">
    <w:name w:val="fontstyle01"/>
    <w:basedOn w:val="8"/>
    <w:qFormat/>
    <w:uiPriority w:val="0"/>
    <w:rPr>
      <w:rFonts w:hint="eastAsia" w:ascii="宋体" w:hAnsi="宋体" w:eastAsia="宋体"/>
      <w:color w:val="000000"/>
      <w:sz w:val="22"/>
      <w:szCs w:val="22"/>
    </w:rPr>
  </w:style>
  <w:style w:type="character" w:customStyle="1" w:styleId="20">
    <w:name w:val="批注主题 Char"/>
    <w:basedOn w:val="16"/>
    <w:link w:val="6"/>
    <w:semiHidden/>
    <w:qFormat/>
    <w:uiPriority w:val="99"/>
    <w:rPr>
      <w:rFonts w:ascii="Calibri" w:hAnsi="Calibri"/>
      <w:b/>
      <w:bCs/>
      <w:kern w:val="2"/>
      <w:sz w:val="21"/>
      <w:szCs w:val="24"/>
    </w:rPr>
  </w:style>
  <w:style w:type="character" w:customStyle="1" w:styleId="21">
    <w:name w:val="fontstyle21"/>
    <w:basedOn w:val="8"/>
    <w:qFormat/>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2764</Words>
  <Characters>2873</Characters>
  <Lines>64</Lines>
  <Paragraphs>18</Paragraphs>
  <TotalTime>118</TotalTime>
  <ScaleCrop>false</ScaleCrop>
  <LinksUpToDate>false</LinksUpToDate>
  <CharactersWithSpaces>3021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2019-04-23T02:16:00Z</dcterms:created>
  <dc:creator>dell</dc:creator>
  <cp:lastModifiedBy>haiyan</cp:lastModifiedBy>
  <cp:lastPrinted>2019-06-14T14:06:17Z</cp:lastPrinted>
  <dcterms:modified xsi:type="dcterms:W3CDTF">2019-06-14T14:27:48Z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