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 xml:space="preserve">证券代码：000988　                                证券简称：华工科技 </w:t>
      </w:r>
    </w:p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华工科技产业股份有限公司</w:t>
      </w:r>
    </w:p>
    <w:p>
      <w:pPr>
        <w:spacing w:beforeLines="50" w:afterLines="50" w:line="400" w:lineRule="exact"/>
        <w:jc w:val="center"/>
        <w:rPr>
          <w:rFonts w:ascii="黑体" w:hAnsi="黑体" w:eastAsia="黑体"/>
          <w:b/>
          <w:bCs/>
          <w:i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asciiTheme="minorEastAsia" w:hAnsiTheme="minorEastAsia" w:eastAsia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/>
          <w:bCs/>
          <w:iCs/>
          <w:color w:val="000000"/>
          <w:sz w:val="24"/>
        </w:rPr>
        <w:t>编号：2019-0</w:t>
      </w:r>
      <w:r>
        <w:rPr>
          <w:rFonts w:hint="eastAsia" w:asciiTheme="minorEastAsia" w:hAnsiTheme="minorEastAsia" w:eastAsiaTheme="minorEastAsia"/>
          <w:bCs/>
          <w:iCs/>
          <w:color w:val="000000"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Cs/>
          <w:iCs/>
          <w:color w:val="000000"/>
          <w:sz w:val="24"/>
        </w:rPr>
        <w:t xml:space="preserve">                                         日期： 6月</w:t>
      </w:r>
      <w:r>
        <w:rPr>
          <w:rFonts w:hint="eastAsia" w:asciiTheme="minorEastAsia" w:hAnsiTheme="minorEastAsia" w:eastAsiaTheme="minorEastAsia"/>
          <w:bCs/>
          <w:iCs/>
          <w:color w:val="000000"/>
          <w:sz w:val="24"/>
          <w:lang w:val="en-US" w:eastAsia="zh-CN"/>
        </w:rPr>
        <w:t>26</w:t>
      </w:r>
      <w:r>
        <w:rPr>
          <w:rFonts w:hint="eastAsia" w:asciiTheme="minorEastAsia" w:hAnsiTheme="minorEastAsia" w:eastAsiaTheme="minorEastAsia"/>
          <w:bCs/>
          <w:iCs/>
          <w:color w:val="000000"/>
          <w:sz w:val="24"/>
        </w:rPr>
        <w:t xml:space="preserve">日                                    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 xml:space="preserve">特定对象调研       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分析师会议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 xml:space="preserve">        □</w:t>
            </w:r>
            <w:r>
              <w:rPr>
                <w:rFonts w:hint="eastAsia" w:ascii="宋体" w:hAnsi="宋体" w:eastAsia="宋体" w:cs="宋体"/>
                <w:sz w:val="24"/>
              </w:rPr>
              <w:t>媒体采访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业绩说明会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 xml:space="preserve">          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新闻发布会        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现场参观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 xml:space="preserve">            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信达澳银基金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 xml:space="preserve"> 冯明达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韩国投信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i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薛海东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智诚海威资管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陈丹丹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德亚投资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王肯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中信证券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胡叶倩雯，梁楠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光大证券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耿正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宝盈基金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陈卓苗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重阳投资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赵阳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中泰资管  杜厚良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鲍尔太平  张子钊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APS毕胜资产  王兴林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Nomura Securities Yuji  Matsumoto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Japan Post Insurance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  <w:lang w:val="en-US" w:eastAsia="zh-CN"/>
              </w:rPr>
              <w:t>Ryu Kageyama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2019年6月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kern w:val="0"/>
                <w:sz w:val="24"/>
              </w:rPr>
              <w:t>公司四楼会议室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华工科技 副总经理/财务总监/董秘：刘含树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、华工科技 董办：姚永川、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lang w:val="en-US" w:eastAsia="zh-CN"/>
              </w:rPr>
              <w:t>邓茜雯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接待过程中，公司接待人员严格按照有关制度规定，没有出现未公开重大信息泄露等情况。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调研活动安排</w:t>
            </w:r>
          </w:p>
        </w:tc>
      </w:tr>
    </w:tbl>
    <w:p>
      <w:pPr>
        <w:ind w:firstLine="322"/>
      </w:pPr>
    </w:p>
    <w:p>
      <w:pPr>
        <w:widowControl/>
        <w:jc w:val="left"/>
        <w:rPr>
          <w:rFonts w:ascii="黑体" w:hAnsi="黑体" w:eastAsia="黑体" w:cs="宋体"/>
          <w:color w:val="000000"/>
          <w:sz w:val="32"/>
          <w:shd w:val="clear" w:color="auto" w:fill="FFFFFF"/>
        </w:rPr>
      </w:pPr>
      <w:r>
        <w:rPr>
          <w:rFonts w:ascii="黑体" w:hAnsi="黑体" w:eastAsia="黑体" w:cs="宋体"/>
          <w:color w:val="000000"/>
          <w:sz w:val="32"/>
          <w:shd w:val="clear" w:color="auto" w:fill="FFFFFF"/>
        </w:rPr>
        <w:br w:type="page"/>
      </w:r>
    </w:p>
    <w:p>
      <w:pPr>
        <w:rPr>
          <w:rFonts w:ascii="黑体" w:hAnsi="黑体" w:eastAsia="黑体" w:cs="宋体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sz w:val="32"/>
          <w:shd w:val="clear" w:color="auto" w:fill="FFFFFF"/>
        </w:rPr>
        <w:t>附件</w:t>
      </w:r>
    </w:p>
    <w:p>
      <w:pPr>
        <w:spacing w:line="360" w:lineRule="auto"/>
        <w:ind w:firstLine="482" w:firstLineChars="200"/>
        <w:rPr>
          <w:rFonts w:hint="default" w:cs="宋体" w:asciiTheme="minorEastAsia" w:hAnsiTheme="minorEastAsia" w:eastAsiaTheme="minorEastAsia"/>
          <w:b/>
          <w:color w:val="000000"/>
          <w:sz w:val="24"/>
          <w:szCs w:val="16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color w:val="000000"/>
          <w:sz w:val="24"/>
          <w:szCs w:val="16"/>
          <w:shd w:val="clear" w:color="auto" w:fill="FFFFFF"/>
        </w:rPr>
        <w:t>一、公司董事、副总裁、董事会秘书、财务总监刘含树</w:t>
      </w:r>
      <w:r>
        <w:rPr>
          <w:rFonts w:hint="eastAsia" w:cs="宋体" w:asciiTheme="minorEastAsia" w:hAnsiTheme="minorEastAsia" w:eastAsiaTheme="minorEastAsia"/>
          <w:b/>
          <w:color w:val="000000"/>
          <w:sz w:val="24"/>
          <w:szCs w:val="16"/>
          <w:shd w:val="clear" w:color="auto" w:fill="FFFFFF"/>
          <w:lang w:val="en-US" w:eastAsia="zh-CN"/>
        </w:rPr>
        <w:t>先生介绍了公司的基本情况，以及各业务板块具体情况</w:t>
      </w:r>
    </w:p>
    <w:p>
      <w:pPr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color w:val="000000"/>
          <w:sz w:val="24"/>
          <w:szCs w:val="16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color w:val="000000"/>
          <w:sz w:val="24"/>
          <w:szCs w:val="16"/>
          <w:shd w:val="clear" w:color="auto" w:fill="FFFFFF"/>
          <w:lang w:val="en-US" w:eastAsia="zh-CN"/>
        </w:rPr>
        <w:t>二、</w:t>
      </w:r>
      <w:r>
        <w:rPr>
          <w:rFonts w:hint="eastAsia" w:cs="宋体" w:asciiTheme="minorEastAsia" w:hAnsiTheme="minorEastAsia" w:eastAsiaTheme="minorEastAsia"/>
          <w:b/>
          <w:color w:val="000000"/>
          <w:sz w:val="24"/>
          <w:szCs w:val="16"/>
          <w:shd w:val="clear" w:color="auto" w:fill="FFFFFF"/>
        </w:rPr>
        <w:t>董事会办公室姚永川以PPT的形式汇报了2018年报、2019年一季报披露的公司经营情况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iCs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iCs/>
          <w:color w:val="000000"/>
          <w:sz w:val="24"/>
        </w:rPr>
        <w:t>1、2018年经营情况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2018年全球经济跌宕起伏，宏观环境复杂严峻，经济下行压力较大，中美贸易摩擦持续升级，使得中国经济面临的困难和挑战增多。在此背景下，华工科技保持战略定力，围绕“积极发展，有效管控”的经营思路，以市场为导向，以客户为中心，坚持增量发展，聚焦核心技术突破与产品引领，坚持问题导向，着力降成本、强内控，公司业绩稳健，经营质量改善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2018年，公司营业收入52.33亿元，同比增长16.79%，归属于母公司净利润2.84亿元，同比下降12.51%。经营性净现金流4,685万元，连续6年保持经营性净流入。报告期末公司总资产87.71亿元，净资产56.86亿元，资产负债率33.84%，基本每股收益0.28元。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>2</w:t>
      </w:r>
      <w:r>
        <w:rPr>
          <w:rFonts w:hint="eastAsia" w:asciiTheme="minorEastAsia" w:hAnsiTheme="minorEastAsia" w:eastAsiaTheme="minorEastAsia"/>
          <w:b/>
          <w:sz w:val="24"/>
        </w:rPr>
        <w:t>、2019年一季度经营情况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2019年一季度，公司实现营业收入11.51亿元，同比下降8.96%，归属母公司净利润9,995万元，同比增长64.52%；扣非后的净利润5,</w:t>
      </w:r>
      <w:r>
        <w:rPr>
          <w:rFonts w:asciiTheme="minorEastAsia" w:hAnsiTheme="minorEastAsia" w:eastAsiaTheme="minorEastAsia"/>
          <w:sz w:val="24"/>
        </w:rPr>
        <w:t>215</w:t>
      </w:r>
      <w:r>
        <w:rPr>
          <w:rFonts w:hint="eastAsia" w:asciiTheme="minorEastAsia" w:hAnsiTheme="minorEastAsia" w:eastAsiaTheme="minorEastAsia"/>
          <w:sz w:val="24"/>
        </w:rPr>
        <w:t>万元，同比下降7</w:t>
      </w:r>
      <w:r>
        <w:rPr>
          <w:rFonts w:asciiTheme="minorEastAsia" w:hAnsiTheme="minorEastAsia" w:eastAsiaTheme="minorEastAsia"/>
          <w:sz w:val="24"/>
        </w:rPr>
        <w:t>.54</w:t>
      </w:r>
      <w:r>
        <w:rPr>
          <w:rFonts w:hint="eastAsia" w:asciiTheme="minorEastAsia" w:hAnsiTheme="minorEastAsia" w:eastAsiaTheme="minorEastAsia"/>
          <w:sz w:val="24"/>
        </w:rPr>
        <w:t>%；每股收益0.1元，同比增长6</w:t>
      </w:r>
      <w:r>
        <w:rPr>
          <w:rFonts w:asciiTheme="minorEastAsia" w:hAnsiTheme="minorEastAsia" w:eastAsiaTheme="minorEastAsia"/>
          <w:sz w:val="24"/>
        </w:rPr>
        <w:t>6.67</w:t>
      </w:r>
      <w:r>
        <w:rPr>
          <w:rFonts w:hint="eastAsia" w:asciiTheme="minorEastAsia" w:hAnsiTheme="minorEastAsia" w:eastAsiaTheme="minorEastAsia"/>
          <w:sz w:val="24"/>
        </w:rPr>
        <w:t>%。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2019年一季度各主营业务收入占比：光通信业务占比37%，激光先进装备制造业务占比35%，传感器业务占比19.5%，激光全息防伪材料业务占比8.5%。</w:t>
      </w:r>
    </w:p>
    <w:p>
      <w:pPr>
        <w:spacing w:line="360" w:lineRule="auto"/>
        <w:ind w:firstLine="484" w:firstLineChars="201"/>
        <w:rPr>
          <w:rFonts w:ascii="宋体" w:eastAsia="宋体" w:cs="宋体"/>
          <w:b/>
          <w:color w:val="000000"/>
          <w:sz w:val="24"/>
          <w:lang w:val="zh-CN"/>
        </w:rPr>
      </w:pPr>
    </w:p>
    <w:p>
      <w:pPr>
        <w:spacing w:line="360" w:lineRule="auto"/>
        <w:ind w:firstLine="484" w:firstLineChars="201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二、互动交流环节</w:t>
      </w:r>
    </w:p>
    <w:p>
      <w:pPr>
        <w:spacing w:line="360" w:lineRule="auto"/>
        <w:ind w:firstLine="484" w:firstLineChars="201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提问：1、公司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的发展优势是什么</w:t>
      </w:r>
      <w:r>
        <w:rPr>
          <w:rFonts w:hint="eastAsia" w:asciiTheme="minorEastAsia" w:hAnsiTheme="minorEastAsia" w:eastAsiaTheme="minorEastAsia"/>
          <w:b/>
          <w:sz w:val="24"/>
        </w:rPr>
        <w:t>？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>答复：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今年是公司成立20周年，20年来的发展状况说明了公司有自己内在的发展逻辑，我们的优势主要有3个方面：一是主业清晰。公司以激光技术及其应用为主业，布局能量激光、信息激光和传感器领域，在已形成的激光装备制造、光通信器件、激光全息仿伪、传感器、信息追溯的产业格局基础上，针对全球“再工业化”发展趋势以及自身特点， 集中优势资源发展智能制造关键产品及解决方案。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二是向上游产业链布局清晰，产业链较为完整。公司较早开始重视完善上游供应链，布局前端光芯片、光源等，较好的保障了自身供应链安全，同时一定程度上降低了成本。</w:t>
      </w:r>
    </w:p>
    <w:p>
      <w:pPr>
        <w:spacing w:line="360" w:lineRule="auto"/>
        <w:ind w:firstLine="482" w:firstLineChars="20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三是具备较强的研发能力，研发平台完善，依托</w:t>
      </w:r>
      <w:r>
        <w:rPr>
          <w:rFonts w:hint="eastAsia" w:asciiTheme="minorEastAsia" w:hAnsiTheme="minorEastAsia" w:eastAsiaTheme="minorEastAsia"/>
          <w:sz w:val="24"/>
        </w:rPr>
        <w:t>6个国家级平台优势，保障了公司在关键技术上的核心竞争力。</w:t>
      </w:r>
    </w:p>
    <w:p>
      <w:pPr>
        <w:spacing w:line="360" w:lineRule="auto"/>
        <w:ind w:firstLine="482" w:firstLineChars="201"/>
        <w:rPr>
          <w:rFonts w:hint="eastAsia" w:ascii="宋体" w:hAnsi="宋体" w:eastAsia="宋体"/>
          <w:sz w:val="24"/>
        </w:rPr>
      </w:pPr>
    </w:p>
    <w:p>
      <w:pPr>
        <w:spacing w:line="360" w:lineRule="auto"/>
        <w:ind w:firstLine="484" w:firstLineChars="201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提问：2、公司在光通信业务的布局？</w:t>
      </w:r>
    </w:p>
    <w:p>
      <w:pPr>
        <w:spacing w:line="360" w:lineRule="auto"/>
        <w:ind w:firstLine="482" w:firstLineChars="201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答复：公司抓住5G时代机遇，围绕5G前传、中传和回传网络建设需求，重点布局25G、50G、100G、200G高速率光模块产品，提供全套解决方案；公司5G光模块订单已成功交付，是国内首家获得5G光模块订单的企业，荣膺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5G领先企业</w:t>
      </w:r>
      <w:r>
        <w:rPr>
          <w:rFonts w:hint="eastAsia" w:asciiTheme="minorEastAsia" w:hAnsiTheme="minorEastAsia" w:eastAsiaTheme="minorEastAsia"/>
          <w:sz w:val="24"/>
        </w:rPr>
        <w:t>2018年度全球金牌供应商奖；紧抓数通市场“风口”，推出首款数通高端产品400G QSFP-DD SR8光模块，解决了在信号完整性、光学、COB关键工艺、散热及可靠性等诸多设计难点；发起设立云岭光电，向上延伸光通信产业链，10G光芯片成功实现量产，25G光芯片及器件已完成优化设计。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关于产能方面，目前募投项目还在进行扩产，预计获取的订单份额还在提升。</w:t>
      </w:r>
      <w:r>
        <w:rPr>
          <w:rFonts w:hint="eastAsia" w:asciiTheme="minorEastAsia" w:hAnsiTheme="minorEastAsia" w:eastAsiaTheme="minorEastAsia"/>
          <w:bCs/>
          <w:sz w:val="24"/>
        </w:rPr>
        <w:t>“应用于5G和数据中心光模块的研发及扩产项目”目前已完成新研发中心的建设及搬迁、投建完成两条5G生产线和五条数据中心生产线、投入建设100G&amp;400G光器件封装研发平台。</w:t>
      </w: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提问：3、激光业务2019年上半年的经营情况？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答复：高功率激光应用方面，公司将</w:t>
      </w:r>
      <w:r>
        <w:rPr>
          <w:rFonts w:hint="eastAsia" w:cs="楷体" w:asciiTheme="minorEastAsia" w:hAnsiTheme="minorEastAsia" w:eastAsiaTheme="minorEastAsia"/>
          <w:bCs/>
          <w:sz w:val="24"/>
        </w:rPr>
        <w:t>深挖钣金加工、船舶制造、汽车及零部件、轨道交通、工程机械等重点行业。</w:t>
      </w:r>
      <w:r>
        <w:rPr>
          <w:rFonts w:hint="eastAsia" w:asciiTheme="minorEastAsia" w:hAnsiTheme="minorEastAsia" w:eastAsiaTheme="minorEastAsia"/>
          <w:sz w:val="24"/>
        </w:rPr>
        <w:t>挖掘新兴市场，重点投入印度、越南、台湾等国家和地区，实施越南福特白车身焊装生产线、墨西哥开卷项目等，国际大幅销售增长；成功开发汽车热成形件三维五轴激光切割系统，自主研发核心</w:t>
      </w:r>
      <w:r>
        <w:rPr>
          <w:rFonts w:hint="eastAsia" w:ascii="宋体" w:eastAsia="宋体" w:cs="宋体"/>
          <w:color w:val="000000"/>
          <w:sz w:val="24"/>
          <w:lang w:val="zh-CN"/>
        </w:rPr>
        <w:t>单元器件三维五轴切割头，</w:t>
      </w:r>
      <w:r>
        <w:rPr>
          <w:rFonts w:hint="eastAsia" w:asciiTheme="minorEastAsia" w:hAnsiTheme="minorEastAsia" w:eastAsiaTheme="minorEastAsia"/>
          <w:sz w:val="24"/>
        </w:rPr>
        <w:t>获得2018年湖北省科学技术进步一等奖，已在客户处实现大批量采购；白车身焊装产线已在通用、神龙、本田等多家车企应用；6000W、12000W切割设备也已得到批量应用并推向全球。</w:t>
      </w:r>
      <w:r>
        <w:rPr>
          <w:rFonts w:hint="eastAsia" w:cs="楷体" w:asciiTheme="minorEastAsia" w:hAnsiTheme="minorEastAsia" w:eastAsiaTheme="minorEastAsia"/>
          <w:bCs/>
          <w:sz w:val="24"/>
        </w:rPr>
        <w:t>2019年一季度</w:t>
      </w:r>
      <w:r>
        <w:rPr>
          <w:rFonts w:hint="eastAsia" w:ascii="宋体" w:eastAsia="宋体" w:cs="宋体"/>
          <w:color w:val="000000"/>
          <w:sz w:val="24"/>
          <w:lang w:val="zh-CN"/>
        </w:rPr>
        <w:t>智能装备业务收入</w:t>
      </w:r>
      <w:r>
        <w:rPr>
          <w:rFonts w:hint="eastAsia" w:ascii="宋体" w:eastAsia="宋体" w:cs="宋体"/>
          <w:color w:val="000000"/>
          <w:sz w:val="24"/>
          <w:lang w:val="en-US" w:eastAsia="zh-CN"/>
        </w:rPr>
        <w:t>保持增速</w:t>
      </w:r>
      <w:r>
        <w:rPr>
          <w:rFonts w:hint="eastAsia" w:ascii="宋体" w:eastAsia="宋体" w:cs="宋体"/>
          <w:color w:val="000000"/>
          <w:sz w:val="24"/>
          <w:lang w:val="zh-CN"/>
        </w:rPr>
        <w:t>，综合毛利率</w:t>
      </w:r>
      <w:r>
        <w:rPr>
          <w:rFonts w:hint="eastAsia" w:ascii="宋体" w:eastAsia="宋体" w:cs="宋体"/>
          <w:color w:val="000000"/>
          <w:sz w:val="24"/>
          <w:lang w:val="en-US" w:eastAsia="zh-CN"/>
        </w:rPr>
        <w:t>有提升</w:t>
      </w:r>
      <w:r>
        <w:rPr>
          <w:rFonts w:hint="eastAsia" w:ascii="宋体" w:eastAsia="宋体" w:cs="宋体"/>
          <w:color w:val="000000"/>
          <w:sz w:val="24"/>
          <w:lang w:val="zh-CN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精密激光应用方面，</w:t>
      </w:r>
      <w:r>
        <w:rPr>
          <w:rFonts w:hint="eastAsia" w:ascii="宋体" w:eastAsia="宋体" w:cs="宋体"/>
          <w:color w:val="000000"/>
          <w:sz w:val="24"/>
          <w:lang w:val="zh-CN"/>
        </w:rPr>
        <w:t>受消费电子行业周期性下滑影响</w:t>
      </w:r>
      <w:r>
        <w:rPr>
          <w:rFonts w:hint="eastAsia" w:asciiTheme="minorEastAsia" w:hAnsiTheme="minorEastAsia" w:eastAsiaTheme="minorEastAsia"/>
          <w:sz w:val="24"/>
        </w:rPr>
        <w:t>,国际大客户的销售收入同比降幅较大，但市场份额略有提升。国内3</w:t>
      </w:r>
      <w:r>
        <w:rPr>
          <w:rFonts w:asciiTheme="minorEastAsia" w:hAnsiTheme="minorEastAsia" w:eastAsiaTheme="minorEastAsia"/>
          <w:sz w:val="24"/>
        </w:rPr>
        <w:t>C</w:t>
      </w:r>
      <w:r>
        <w:rPr>
          <w:rFonts w:hint="eastAsia" w:asciiTheme="minorEastAsia" w:hAnsiTheme="minorEastAsia" w:eastAsiaTheme="minorEastAsia"/>
          <w:sz w:val="24"/>
        </w:rPr>
        <w:t>消费电子类业务销售规模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有一定</w:t>
      </w:r>
      <w:r>
        <w:rPr>
          <w:rFonts w:hint="eastAsia" w:asciiTheme="minorEastAsia" w:hAnsiTheme="minorEastAsia" w:eastAsiaTheme="minorEastAsia"/>
          <w:sz w:val="24"/>
        </w:rPr>
        <w:t>增长。公司深挖PCB/FPC、家电等行业, 市场份额进一步扩大；快速布局5G、新能源、面板、量测、汽车电子等应用领域，为2</w:t>
      </w:r>
      <w:r>
        <w:rPr>
          <w:rFonts w:asciiTheme="minorEastAsia" w:hAnsiTheme="minorEastAsia" w:eastAsiaTheme="minorEastAsia"/>
          <w:sz w:val="24"/>
        </w:rPr>
        <w:t>019</w:t>
      </w:r>
      <w:r>
        <w:rPr>
          <w:rFonts w:hint="eastAsia" w:asciiTheme="minorEastAsia" w:hAnsiTheme="minorEastAsia" w:eastAsiaTheme="minorEastAsia"/>
          <w:sz w:val="24"/>
        </w:rPr>
        <w:t>年业绩增长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做准备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提问：4、公司整体未来发展规划？</w:t>
      </w:r>
    </w:p>
    <w:p>
      <w:pPr>
        <w:spacing w:line="360" w:lineRule="auto"/>
        <w:ind w:firstLine="480" w:firstLineChars="200"/>
        <w:rPr>
          <w:rFonts w:ascii="宋体" w:hAnsi="宋体" w:eastAsia="宋体" w:cs="Arial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4"/>
        </w:rPr>
        <w:t>答复：</w:t>
      </w:r>
      <w:r>
        <w:rPr>
          <w:rFonts w:ascii="宋体" w:hAnsi="宋体" w:eastAsia="宋体" w:cs="Arial"/>
          <w:sz w:val="24"/>
          <w:shd w:val="clear" w:color="auto" w:fill="FFFFFF"/>
        </w:rPr>
        <w:t>今天，从工业</w:t>
      </w:r>
      <w:r>
        <w:rPr>
          <w:rFonts w:hint="eastAsia" w:ascii="宋体" w:hAnsi="宋体" w:eastAsia="宋体" w:cs="Arial"/>
          <w:sz w:val="24"/>
          <w:shd w:val="clear" w:color="auto" w:fill="FFFFFF"/>
        </w:rPr>
        <w:t>领域</w:t>
      </w:r>
      <w:r>
        <w:rPr>
          <w:rFonts w:ascii="宋体" w:hAnsi="宋体" w:eastAsia="宋体" w:cs="Arial"/>
          <w:sz w:val="24"/>
          <w:shd w:val="clear" w:color="auto" w:fill="FFFFFF"/>
        </w:rPr>
        <w:t>到生活领域，都在发生着深刻的变革，</w:t>
      </w:r>
      <w:r>
        <w:rPr>
          <w:rFonts w:hint="eastAsia" w:ascii="宋体" w:hAnsi="宋体" w:eastAsia="宋体" w:cs="Arial"/>
          <w:sz w:val="24"/>
          <w:shd w:val="clear" w:color="auto" w:fill="FFFFFF"/>
        </w:rPr>
        <w:t>人们</w:t>
      </w:r>
      <w:r>
        <w:rPr>
          <w:rFonts w:ascii="宋体" w:hAnsi="宋体" w:eastAsia="宋体" w:cs="Arial"/>
          <w:sz w:val="24"/>
          <w:shd w:val="clear" w:color="auto" w:fill="FFFFFF"/>
        </w:rPr>
        <w:t>通过网络将海量数据互联</w:t>
      </w:r>
      <w:r>
        <w:rPr>
          <w:rFonts w:hint="eastAsia" w:ascii="宋体" w:hAnsi="宋体" w:eastAsia="宋体" w:cs="Arial"/>
          <w:sz w:val="24"/>
          <w:shd w:val="clear" w:color="auto" w:fill="FFFFFF"/>
        </w:rPr>
        <w:t>从而进行</w:t>
      </w:r>
      <w:r>
        <w:rPr>
          <w:rFonts w:ascii="宋体" w:hAnsi="宋体" w:eastAsia="宋体" w:cs="Arial"/>
          <w:sz w:val="24"/>
          <w:shd w:val="clear" w:color="auto" w:fill="FFFFFF"/>
        </w:rPr>
        <w:t>更高效地决策。华工科技依托十几年来积淀发展的激光加工技术</w:t>
      </w:r>
      <w:r>
        <w:rPr>
          <w:rFonts w:hint="eastAsia" w:ascii="宋体" w:hAnsi="宋体" w:eastAsia="宋体" w:cs="Arial"/>
          <w:sz w:val="24"/>
          <w:shd w:val="clear" w:color="auto" w:fill="FFFFFF"/>
        </w:rPr>
        <w:t>、</w:t>
      </w:r>
      <w:r>
        <w:rPr>
          <w:rFonts w:ascii="宋体" w:hAnsi="宋体" w:eastAsia="宋体" w:cs="Arial"/>
          <w:sz w:val="24"/>
          <w:shd w:val="clear" w:color="auto" w:fill="FFFFFF"/>
        </w:rPr>
        <w:t>传感器技术、光通信技术、信息追溯技术</w:t>
      </w:r>
      <w:r>
        <w:rPr>
          <w:rFonts w:hint="eastAsia" w:ascii="宋体" w:hAnsi="宋体" w:eastAsia="宋体" w:cs="Arial"/>
          <w:sz w:val="24"/>
          <w:shd w:val="clear" w:color="auto" w:fill="FFFFFF"/>
        </w:rPr>
        <w:t>，</w:t>
      </w:r>
      <w:r>
        <w:rPr>
          <w:rFonts w:hint="eastAsia" w:ascii="宋体" w:hAnsi="宋体" w:eastAsia="宋体" w:cs="宋体"/>
          <w:iCs/>
          <w:color w:val="000000"/>
          <w:sz w:val="24"/>
        </w:rPr>
        <w:t>致力于为智能制造提供核心产品及解决方案，将成为各行各业转型升级的重要工具。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iCs/>
          <w:color w:val="000000"/>
          <w:sz w:val="24"/>
        </w:rPr>
      </w:pPr>
      <w:r>
        <w:rPr>
          <w:rFonts w:hint="eastAsia" w:ascii="宋体" w:hAnsi="宋体" w:eastAsia="宋体" w:cs="宋体"/>
          <w:iCs/>
          <w:color w:val="000000"/>
          <w:sz w:val="24"/>
        </w:rPr>
        <w:t>公司坚持为激光装备、光通信“补芯”；持续完善在新能源领域的布局；抢抓OLED行业产能转移的机遇，推动柔性OLED显示面板关键生产装备国产化进程；紧抓大数据时代数据中心大增长的机遇，拥抱5G&amp;大数据时代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iCs/>
          <w:color w:val="000000"/>
          <w:sz w:val="24"/>
        </w:rPr>
        <w:t>6月6日，工信部正式向国内四家运营商发放了5G牌照。5G正式商用牌照的加速落地超出市场预期。5G主网的建设，会带动光模块的放量；5G手机的更迭，会带动激光微加工在面板、3C等领域的需求，围绕5G深化应用，各种终端产品的需求会不断提升，这也将为</w:t>
      </w:r>
      <w:r>
        <w:rPr>
          <w:rFonts w:hint="eastAsia" w:ascii="宋体" w:hAnsi="宋体" w:eastAsia="宋体" w:cs="宋体"/>
          <w:iCs/>
          <w:color w:val="000000"/>
          <w:sz w:val="24"/>
          <w:lang w:val="en-US" w:eastAsia="zh-CN"/>
        </w:rPr>
        <w:t>公司业务发展注入持续动能</w:t>
      </w:r>
      <w:r>
        <w:rPr>
          <w:rFonts w:hint="eastAsia" w:ascii="宋体" w:hAnsi="宋体" w:eastAsia="宋体" w:cs="宋体"/>
          <w:iCs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709C9"/>
    <w:multiLevelType w:val="singleLevel"/>
    <w:tmpl w:val="9D7709C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494ACAB"/>
    <w:multiLevelType w:val="singleLevel"/>
    <w:tmpl w:val="C494AC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2C"/>
    <w:rsid w:val="0001605A"/>
    <w:rsid w:val="00020792"/>
    <w:rsid w:val="00022CBF"/>
    <w:rsid w:val="000270F8"/>
    <w:rsid w:val="0009271D"/>
    <w:rsid w:val="00095925"/>
    <w:rsid w:val="00096E2D"/>
    <w:rsid w:val="000A65F9"/>
    <w:rsid w:val="000F0628"/>
    <w:rsid w:val="00123D32"/>
    <w:rsid w:val="0012563E"/>
    <w:rsid w:val="00131E3E"/>
    <w:rsid w:val="001552F2"/>
    <w:rsid w:val="00172A27"/>
    <w:rsid w:val="00175E73"/>
    <w:rsid w:val="00177A75"/>
    <w:rsid w:val="001C073D"/>
    <w:rsid w:val="001C6360"/>
    <w:rsid w:val="001D1DF2"/>
    <w:rsid w:val="001D277F"/>
    <w:rsid w:val="00200BB6"/>
    <w:rsid w:val="002062A9"/>
    <w:rsid w:val="00287218"/>
    <w:rsid w:val="00314544"/>
    <w:rsid w:val="0032576A"/>
    <w:rsid w:val="00330468"/>
    <w:rsid w:val="00342047"/>
    <w:rsid w:val="0034239A"/>
    <w:rsid w:val="003552DA"/>
    <w:rsid w:val="003608D8"/>
    <w:rsid w:val="003609B4"/>
    <w:rsid w:val="00373854"/>
    <w:rsid w:val="0039618E"/>
    <w:rsid w:val="003A401D"/>
    <w:rsid w:val="003D1531"/>
    <w:rsid w:val="00403981"/>
    <w:rsid w:val="0041030C"/>
    <w:rsid w:val="004166C5"/>
    <w:rsid w:val="00432C6C"/>
    <w:rsid w:val="00484D74"/>
    <w:rsid w:val="00485E89"/>
    <w:rsid w:val="004924EC"/>
    <w:rsid w:val="004A11AF"/>
    <w:rsid w:val="004B1506"/>
    <w:rsid w:val="004C13A8"/>
    <w:rsid w:val="004C74A4"/>
    <w:rsid w:val="004D1CCF"/>
    <w:rsid w:val="004E2A6D"/>
    <w:rsid w:val="004E4BAE"/>
    <w:rsid w:val="00541660"/>
    <w:rsid w:val="00545D08"/>
    <w:rsid w:val="005B35D4"/>
    <w:rsid w:val="005B5408"/>
    <w:rsid w:val="005B5FE6"/>
    <w:rsid w:val="005B6B1E"/>
    <w:rsid w:val="005C122F"/>
    <w:rsid w:val="005C523C"/>
    <w:rsid w:val="005E532E"/>
    <w:rsid w:val="00600AD2"/>
    <w:rsid w:val="00603808"/>
    <w:rsid w:val="0061145C"/>
    <w:rsid w:val="0062218F"/>
    <w:rsid w:val="006253DF"/>
    <w:rsid w:val="00665EF0"/>
    <w:rsid w:val="006A35AE"/>
    <w:rsid w:val="00711806"/>
    <w:rsid w:val="00727E7F"/>
    <w:rsid w:val="00796430"/>
    <w:rsid w:val="0079769F"/>
    <w:rsid w:val="007A3DFB"/>
    <w:rsid w:val="007A7508"/>
    <w:rsid w:val="00860DEF"/>
    <w:rsid w:val="00946DA0"/>
    <w:rsid w:val="009660A3"/>
    <w:rsid w:val="00973A1E"/>
    <w:rsid w:val="00993B7B"/>
    <w:rsid w:val="009A3FD0"/>
    <w:rsid w:val="009C24BE"/>
    <w:rsid w:val="009E4AFF"/>
    <w:rsid w:val="00A2342B"/>
    <w:rsid w:val="00A472CA"/>
    <w:rsid w:val="00A536A0"/>
    <w:rsid w:val="00A75DB1"/>
    <w:rsid w:val="00A849E8"/>
    <w:rsid w:val="00AA01EC"/>
    <w:rsid w:val="00AA0990"/>
    <w:rsid w:val="00AD26F8"/>
    <w:rsid w:val="00AE7A76"/>
    <w:rsid w:val="00B43EBE"/>
    <w:rsid w:val="00B54133"/>
    <w:rsid w:val="00B60707"/>
    <w:rsid w:val="00BC6359"/>
    <w:rsid w:val="00C37C60"/>
    <w:rsid w:val="00C95575"/>
    <w:rsid w:val="00CA5AE9"/>
    <w:rsid w:val="00CC70AA"/>
    <w:rsid w:val="00CD0A8A"/>
    <w:rsid w:val="00CF5106"/>
    <w:rsid w:val="00D02F4D"/>
    <w:rsid w:val="00D171B2"/>
    <w:rsid w:val="00D300CF"/>
    <w:rsid w:val="00D5129E"/>
    <w:rsid w:val="00D54110"/>
    <w:rsid w:val="00D5702C"/>
    <w:rsid w:val="00D6446E"/>
    <w:rsid w:val="00D669EE"/>
    <w:rsid w:val="00D77889"/>
    <w:rsid w:val="00D97A45"/>
    <w:rsid w:val="00DB5591"/>
    <w:rsid w:val="00DC4ECF"/>
    <w:rsid w:val="00DC5CF2"/>
    <w:rsid w:val="00DF02E6"/>
    <w:rsid w:val="00DF4FAA"/>
    <w:rsid w:val="00E10EE2"/>
    <w:rsid w:val="00E2669B"/>
    <w:rsid w:val="00E3041B"/>
    <w:rsid w:val="00E6147D"/>
    <w:rsid w:val="00E82BE4"/>
    <w:rsid w:val="00ED1E9D"/>
    <w:rsid w:val="00ED1F32"/>
    <w:rsid w:val="00EE1A8C"/>
    <w:rsid w:val="00EF33C1"/>
    <w:rsid w:val="00EF5FF4"/>
    <w:rsid w:val="00F2260D"/>
    <w:rsid w:val="00F3429A"/>
    <w:rsid w:val="00F37623"/>
    <w:rsid w:val="00F62BAF"/>
    <w:rsid w:val="00F73DB2"/>
    <w:rsid w:val="00F956AD"/>
    <w:rsid w:val="00F95DDD"/>
    <w:rsid w:val="00FC362E"/>
    <w:rsid w:val="07F12F2E"/>
    <w:rsid w:val="0E284E95"/>
    <w:rsid w:val="0E7F2ED7"/>
    <w:rsid w:val="1CCE1BFA"/>
    <w:rsid w:val="3C425174"/>
    <w:rsid w:val="50871BBA"/>
    <w:rsid w:val="61D92019"/>
    <w:rsid w:val="6F4D118B"/>
    <w:rsid w:val="730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14141"/>
      <w:u w:val="none"/>
    </w:rPr>
  </w:style>
  <w:style w:type="character" w:styleId="7">
    <w:name w:val="Hyperlink"/>
    <w:basedOn w:val="5"/>
    <w:uiPriority w:val="0"/>
    <w:rPr>
      <w:color w:val="414141"/>
      <w:u w:val="none"/>
    </w:rPr>
  </w:style>
  <w:style w:type="character" w:customStyle="1" w:styleId="8">
    <w:name w:val="hover8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505</Words>
  <Characters>2880</Characters>
  <Lines>24</Lines>
  <Paragraphs>6</Paragraphs>
  <TotalTime>79</TotalTime>
  <ScaleCrop>false</ScaleCrop>
  <LinksUpToDate>false</LinksUpToDate>
  <CharactersWithSpaces>3379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2019-06-15T02:48:00Z</dcterms:created>
  <dc:creator>Sissi</dc:creator>
  <cp:lastModifiedBy>chenming</cp:lastModifiedBy>
  <cp:lastPrinted>2019-07-01T08:31:44Z</cp:lastPrinted>
  <dcterms:modified xsi:type="dcterms:W3CDTF">2019-07-01T08:51:00Z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