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7" w:rsidRPr="00012E21" w:rsidRDefault="00C17527" w:rsidP="00C17527">
      <w:pPr>
        <w:spacing w:line="560" w:lineRule="exact"/>
        <w:ind w:firstLineChars="50" w:firstLine="140"/>
        <w:rPr>
          <w:rFonts w:ascii="黑体" w:eastAsia="黑体" w:hAnsi="宋体"/>
          <w:bCs/>
          <w:iCs/>
          <w:color w:val="000000"/>
          <w:sz w:val="28"/>
          <w:szCs w:val="28"/>
        </w:rPr>
      </w:pP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证券代码：000717 </w:t>
      </w:r>
      <w:r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</w:t>
      </w: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        </w:t>
      </w:r>
      <w:r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</w:t>
      </w: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　 </w:t>
      </w:r>
      <w:r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   </w:t>
      </w: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   </w:t>
      </w:r>
      <w:r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</w:t>
      </w: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 xml:space="preserve">   证券简称：</w:t>
      </w:r>
      <w:proofErr w:type="gramStart"/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>韶</w:t>
      </w:r>
      <w:proofErr w:type="gramEnd"/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>钢松山</w:t>
      </w:r>
    </w:p>
    <w:p w:rsidR="00C17527" w:rsidRPr="00C17527" w:rsidRDefault="00C17527" w:rsidP="0005197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051971" w:rsidRDefault="002F2F35" w:rsidP="0005197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广东韶钢松山</w:t>
      </w:r>
      <w:r w:rsidRPr="002F2F35">
        <w:rPr>
          <w:rFonts w:ascii="黑体" w:eastAsia="黑体" w:hAnsi="宋体" w:hint="eastAsia"/>
          <w:b/>
          <w:sz w:val="32"/>
          <w:szCs w:val="32"/>
        </w:rPr>
        <w:t>股份有限公司投资者关系活动记录表</w:t>
      </w:r>
    </w:p>
    <w:p w:rsidR="00051971" w:rsidRPr="00051971" w:rsidRDefault="00051971" w:rsidP="00051971">
      <w:pPr>
        <w:spacing w:line="480" w:lineRule="exact"/>
        <w:jc w:val="center"/>
        <w:rPr>
          <w:rFonts w:ascii="黑体" w:eastAsia="黑体" w:hAnsi="宋体"/>
          <w:b/>
          <w:bCs/>
          <w:iCs/>
          <w:color w:val="000000"/>
          <w:sz w:val="32"/>
          <w:szCs w:val="32"/>
        </w:rPr>
      </w:pPr>
    </w:p>
    <w:p w:rsidR="00051971" w:rsidRPr="00B959FB" w:rsidRDefault="00051971" w:rsidP="00051971">
      <w:pPr>
        <w:spacing w:line="400" w:lineRule="exact"/>
        <w:jc w:val="right"/>
        <w:rPr>
          <w:rFonts w:ascii="宋体" w:hAnsi="宋体"/>
          <w:b/>
          <w:bCs/>
          <w:iCs/>
          <w:sz w:val="28"/>
          <w:szCs w:val="28"/>
        </w:rPr>
      </w:pPr>
      <w:r w:rsidRPr="008238EE">
        <w:rPr>
          <w:rFonts w:ascii="宋体" w:hAnsi="宋体" w:hint="eastAsia"/>
          <w:bCs/>
          <w:iCs/>
          <w:color w:val="000000"/>
          <w:sz w:val="24"/>
        </w:rPr>
        <w:t xml:space="preserve">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 w:rsidRPr="008238EE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2A56DB">
        <w:rPr>
          <w:rFonts w:ascii="宋体" w:hAnsi="宋体" w:hint="eastAsia"/>
          <w:bCs/>
          <w:iCs/>
          <w:color w:val="000000"/>
          <w:sz w:val="28"/>
          <w:szCs w:val="28"/>
        </w:rPr>
        <w:t xml:space="preserve"> </w:t>
      </w:r>
      <w:r w:rsidRPr="00B959FB">
        <w:rPr>
          <w:rFonts w:ascii="宋体" w:hAnsi="宋体" w:hint="eastAsia"/>
          <w:b/>
          <w:bCs/>
          <w:iCs/>
          <w:sz w:val="28"/>
          <w:szCs w:val="28"/>
        </w:rPr>
        <w:t>编号：201</w:t>
      </w:r>
      <w:r>
        <w:rPr>
          <w:rFonts w:ascii="宋体" w:hAnsi="宋体" w:hint="eastAsia"/>
          <w:b/>
          <w:bCs/>
          <w:iCs/>
          <w:sz w:val="28"/>
          <w:szCs w:val="28"/>
        </w:rPr>
        <w:t>9</w:t>
      </w:r>
      <w:r w:rsidRPr="00B959FB">
        <w:rPr>
          <w:rFonts w:ascii="宋体" w:hAnsi="宋体" w:hint="eastAsia"/>
          <w:b/>
          <w:bCs/>
          <w:iCs/>
          <w:sz w:val="28"/>
          <w:szCs w:val="28"/>
        </w:rPr>
        <w:t>-0</w:t>
      </w:r>
      <w:r w:rsidR="0014245A">
        <w:rPr>
          <w:rFonts w:ascii="宋体" w:hAnsi="宋体" w:hint="eastAsia"/>
          <w:b/>
          <w:bCs/>
          <w:i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131"/>
      </w:tblGrid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5F5A3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分析师会议</w:t>
            </w:r>
          </w:p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业绩说明会</w:t>
            </w:r>
          </w:p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路演活动</w:t>
            </w:r>
          </w:p>
          <w:p w:rsidR="00051971" w:rsidRPr="005F5A32" w:rsidRDefault="00051971" w:rsidP="001B25C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现场参观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051971" w:rsidRPr="005F5A32" w:rsidRDefault="00051971" w:rsidP="001B25C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5F5A32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5F5A32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D" w:rsidRDefault="0014245A" w:rsidP="0014245A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广发</w:t>
            </w:r>
            <w:r w:rsidR="00051971">
              <w:rPr>
                <w:rFonts w:hint="eastAsia"/>
                <w:sz w:val="24"/>
              </w:rPr>
              <w:t>证券：</w:t>
            </w:r>
            <w:r w:rsidRPr="0014245A">
              <w:rPr>
                <w:rFonts w:hint="eastAsia"/>
                <w:sz w:val="24"/>
              </w:rPr>
              <w:t>李莎</w:t>
            </w:r>
            <w:r w:rsidR="00051971">
              <w:rPr>
                <w:rFonts w:hint="eastAsia"/>
                <w:sz w:val="24"/>
              </w:rPr>
              <w:t>女士</w:t>
            </w:r>
            <w:r>
              <w:rPr>
                <w:rFonts w:hint="eastAsia"/>
                <w:sz w:val="24"/>
              </w:rPr>
              <w:t>、陈</w:t>
            </w:r>
            <w:r w:rsidR="00752C59" w:rsidRPr="008A49D0">
              <w:rPr>
                <w:rFonts w:hint="eastAsia"/>
                <w:sz w:val="24"/>
              </w:rPr>
              <w:t>潇</w:t>
            </w:r>
            <w:r>
              <w:rPr>
                <w:rFonts w:hint="eastAsia"/>
                <w:sz w:val="24"/>
              </w:rPr>
              <w:t>女士</w:t>
            </w:r>
            <w:r w:rsidR="00051971">
              <w:rPr>
                <w:rFonts w:hint="eastAsia"/>
                <w:sz w:val="24"/>
              </w:rPr>
              <w:t>；</w:t>
            </w:r>
          </w:p>
          <w:p w:rsidR="00051971" w:rsidRDefault="0014245A" w:rsidP="0014245A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广发期货：朱智雄先生；</w:t>
            </w:r>
          </w:p>
          <w:p w:rsidR="00FC41D6" w:rsidRDefault="00C41C6C" w:rsidP="00FC41D6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上海</w:t>
            </w:r>
            <w:r w:rsidR="0014245A" w:rsidRPr="0014245A">
              <w:rPr>
                <w:rFonts w:hint="eastAsia"/>
                <w:sz w:val="24"/>
              </w:rPr>
              <w:t>鸿</w:t>
            </w:r>
            <w:proofErr w:type="gramStart"/>
            <w:r w:rsidR="0014245A" w:rsidRPr="0014245A">
              <w:rPr>
                <w:rFonts w:hint="eastAsia"/>
                <w:sz w:val="24"/>
              </w:rPr>
              <w:t>凯</w:t>
            </w:r>
            <w:proofErr w:type="gramEnd"/>
            <w:r w:rsidR="0014245A" w:rsidRPr="0014245A">
              <w:rPr>
                <w:rFonts w:hint="eastAsia"/>
                <w:sz w:val="24"/>
              </w:rPr>
              <w:t>投资</w:t>
            </w:r>
            <w:r w:rsidR="0014245A">
              <w:rPr>
                <w:rFonts w:hint="eastAsia"/>
                <w:sz w:val="24"/>
              </w:rPr>
              <w:t>：</w:t>
            </w:r>
            <w:r w:rsidR="0014245A" w:rsidRPr="0014245A">
              <w:rPr>
                <w:rFonts w:hint="eastAsia"/>
                <w:sz w:val="24"/>
              </w:rPr>
              <w:t>刘芸通</w:t>
            </w:r>
            <w:r w:rsidR="0014245A">
              <w:rPr>
                <w:rFonts w:hint="eastAsia"/>
                <w:sz w:val="24"/>
              </w:rPr>
              <w:t>先生</w:t>
            </w:r>
            <w:r>
              <w:rPr>
                <w:rFonts w:hint="eastAsia"/>
                <w:sz w:val="24"/>
              </w:rPr>
              <w:t>、谢文迪先生；</w:t>
            </w:r>
          </w:p>
          <w:p w:rsidR="0014245A" w:rsidRPr="008A49D0" w:rsidRDefault="00C41C6C" w:rsidP="00FC41D6">
            <w:pPr>
              <w:pStyle w:val="a3"/>
              <w:spacing w:line="360" w:lineRule="auto"/>
            </w:pPr>
            <w:r>
              <w:rPr>
                <w:rFonts w:hint="eastAsia"/>
                <w:sz w:val="24"/>
              </w:rPr>
              <w:t>深圳鹏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资产管理：王思佳先生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6B3D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41C6C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41C6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6B3DE1">
              <w:rPr>
                <w:rFonts w:ascii="宋体" w:hAnsi="宋体" w:hint="eastAsia"/>
                <w:bCs/>
                <w:iCs/>
                <w:color w:val="000000"/>
                <w:sz w:val="24"/>
              </w:rPr>
              <w:t>下午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广东省韶关市曲江区马坝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董秘室小型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公司接待人员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姓  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、董事会秘书：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皮丽珍女士</w:t>
            </w:r>
          </w:p>
          <w:p w:rsidR="00051971" w:rsidRPr="00B906B8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监事、证券事务代表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赖万立先生</w:t>
            </w:r>
          </w:p>
        </w:tc>
      </w:tr>
      <w:tr w:rsidR="00051971" w:rsidRPr="005F5A32" w:rsidTr="001B25C6">
        <w:trPr>
          <w:trHeight w:val="9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2B041E" w:rsidRDefault="00051971" w:rsidP="00C41C6C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B041E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2B041E">
              <w:rPr>
                <w:rFonts w:ascii="宋体" w:hAnsi="宋体" w:hint="eastAsia"/>
                <w:sz w:val="24"/>
              </w:rPr>
              <w:t>年</w:t>
            </w:r>
            <w:r w:rsidR="00C41C6C">
              <w:rPr>
                <w:rFonts w:ascii="宋体" w:hAnsi="宋体" w:hint="eastAsia"/>
                <w:sz w:val="24"/>
              </w:rPr>
              <w:t>7</w:t>
            </w:r>
            <w:r w:rsidRPr="002B041E">
              <w:rPr>
                <w:rFonts w:ascii="宋体" w:hAnsi="宋体" w:hint="eastAsia"/>
                <w:sz w:val="24"/>
              </w:rPr>
              <w:t>月</w:t>
            </w:r>
            <w:r w:rsidR="00C41C6C">
              <w:rPr>
                <w:rFonts w:ascii="宋体" w:hAnsi="宋体" w:hint="eastAsia"/>
                <w:sz w:val="24"/>
              </w:rPr>
              <w:t>3</w:t>
            </w:r>
            <w:r w:rsidRPr="002B041E">
              <w:rPr>
                <w:rFonts w:ascii="宋体" w:hAnsi="宋体" w:hint="eastAsia"/>
                <w:sz w:val="24"/>
              </w:rPr>
              <w:t>日，公司</w:t>
            </w:r>
            <w:r w:rsidRPr="00B631EB">
              <w:rPr>
                <w:rFonts w:ascii="宋体" w:hAnsi="宋体" w:hint="eastAsia"/>
                <w:sz w:val="24"/>
              </w:rPr>
              <w:t>副总裁、董事会秘书皮丽珍女士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631EB">
              <w:rPr>
                <w:rFonts w:ascii="宋体" w:hAnsi="宋体" w:hint="eastAsia"/>
                <w:sz w:val="24"/>
              </w:rPr>
              <w:t>监事、</w:t>
            </w:r>
            <w:r>
              <w:rPr>
                <w:rFonts w:ascii="宋体" w:hAnsi="宋体" w:hint="eastAsia"/>
                <w:sz w:val="24"/>
              </w:rPr>
              <w:t>证券事务代表赖万立先生</w:t>
            </w:r>
            <w:r w:rsidRPr="002B041E">
              <w:rPr>
                <w:rFonts w:ascii="宋体" w:hAnsi="宋体" w:hint="eastAsia"/>
                <w:sz w:val="24"/>
              </w:rPr>
              <w:t>与</w:t>
            </w:r>
            <w:r w:rsidR="00C41C6C">
              <w:rPr>
                <w:rFonts w:ascii="宋体" w:hAnsi="宋体" w:hint="eastAsia"/>
                <w:sz w:val="24"/>
              </w:rPr>
              <w:t>广发证券李莎女士、陈潇女士；广发期货</w:t>
            </w:r>
            <w:r w:rsidR="00C41C6C" w:rsidRPr="00C41C6C">
              <w:rPr>
                <w:rFonts w:ascii="宋体" w:hAnsi="宋体" w:hint="eastAsia"/>
                <w:sz w:val="24"/>
              </w:rPr>
              <w:t>朱智雄先生；</w:t>
            </w:r>
            <w:r w:rsidR="00C41C6C">
              <w:rPr>
                <w:rFonts w:ascii="宋体" w:hAnsi="宋体" w:hint="eastAsia"/>
                <w:sz w:val="24"/>
              </w:rPr>
              <w:t>上海鸿</w:t>
            </w:r>
            <w:proofErr w:type="gramStart"/>
            <w:r w:rsidR="00C41C6C">
              <w:rPr>
                <w:rFonts w:ascii="宋体" w:hAnsi="宋体" w:hint="eastAsia"/>
                <w:sz w:val="24"/>
              </w:rPr>
              <w:t>凯</w:t>
            </w:r>
            <w:proofErr w:type="gramEnd"/>
            <w:r w:rsidR="00C41C6C">
              <w:rPr>
                <w:rFonts w:ascii="宋体" w:hAnsi="宋体" w:hint="eastAsia"/>
                <w:sz w:val="24"/>
              </w:rPr>
              <w:t>投资</w:t>
            </w:r>
            <w:r w:rsidR="00C41C6C" w:rsidRPr="00C41C6C">
              <w:rPr>
                <w:rFonts w:ascii="宋体" w:hAnsi="宋体" w:hint="eastAsia"/>
                <w:sz w:val="24"/>
              </w:rPr>
              <w:t>刘芸通先生、谢文迪先生；深圳鹏</w:t>
            </w:r>
            <w:proofErr w:type="gramStart"/>
            <w:r w:rsidR="00C41C6C" w:rsidRPr="00C41C6C">
              <w:rPr>
                <w:rFonts w:ascii="宋体" w:hAnsi="宋体" w:hint="eastAsia"/>
                <w:sz w:val="24"/>
              </w:rPr>
              <w:t>世</w:t>
            </w:r>
            <w:proofErr w:type="gramEnd"/>
            <w:r w:rsidR="00C41C6C" w:rsidRPr="00C41C6C">
              <w:rPr>
                <w:rFonts w:ascii="宋体" w:hAnsi="宋体" w:hint="eastAsia"/>
                <w:sz w:val="24"/>
              </w:rPr>
              <w:t>资产管理王思佳先生</w:t>
            </w:r>
            <w:r w:rsidRPr="002B041E">
              <w:rPr>
                <w:rFonts w:ascii="宋体" w:hAnsi="宋体" w:hint="eastAsia"/>
                <w:sz w:val="24"/>
              </w:rPr>
              <w:t>进行了座谈并就</w:t>
            </w:r>
            <w:r w:rsidRPr="007563DC">
              <w:rPr>
                <w:rFonts w:ascii="宋体" w:hAnsi="宋体" w:hint="eastAsia"/>
                <w:sz w:val="24"/>
              </w:rPr>
              <w:t>相关</w:t>
            </w:r>
            <w:r w:rsidRPr="002B041E">
              <w:rPr>
                <w:rFonts w:ascii="宋体" w:hAnsi="宋体" w:hint="eastAsia"/>
                <w:sz w:val="24"/>
              </w:rPr>
              <w:t>问询进行了解</w:t>
            </w:r>
            <w:r w:rsidR="00FE06F3">
              <w:rPr>
                <w:rFonts w:ascii="宋体" w:hAnsi="宋体" w:hint="eastAsia"/>
                <w:sz w:val="24"/>
              </w:rPr>
              <w:t>回复</w:t>
            </w:r>
            <w:r w:rsidRPr="002B041E">
              <w:rPr>
                <w:rFonts w:ascii="宋体" w:hAnsi="宋体" w:hint="eastAsia"/>
                <w:sz w:val="24"/>
              </w:rPr>
              <w:t>，主要内容如下：</w:t>
            </w:r>
            <w:r w:rsidRPr="002B041E" w:rsidDel="007F3205">
              <w:rPr>
                <w:rFonts w:ascii="宋体" w:hAnsi="宋体" w:hint="eastAsia"/>
                <w:sz w:val="24"/>
              </w:rPr>
              <w:t xml:space="preserve"> 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="003B058C">
              <w:rPr>
                <w:rFonts w:ascii="宋体" w:hAnsi="宋体" w:hint="eastAsia"/>
                <w:sz w:val="24"/>
              </w:rPr>
              <w:t>根据公司</w:t>
            </w:r>
            <w:r w:rsidRPr="00FC41D6">
              <w:rPr>
                <w:rFonts w:ascii="宋体" w:hAnsi="宋体" w:hint="eastAsia"/>
                <w:sz w:val="24"/>
              </w:rPr>
              <w:t>2019年公司</w:t>
            </w:r>
            <w:r w:rsidR="003B058C">
              <w:rPr>
                <w:rFonts w:ascii="宋体" w:hAnsi="宋体" w:hint="eastAsia"/>
                <w:sz w:val="24"/>
              </w:rPr>
              <w:t>生产</w:t>
            </w:r>
            <w:r w:rsidRPr="00FC41D6">
              <w:rPr>
                <w:rFonts w:ascii="宋体" w:hAnsi="宋体" w:hint="eastAsia"/>
                <w:sz w:val="24"/>
              </w:rPr>
              <w:t>计划</w:t>
            </w:r>
            <w:r w:rsidR="003B058C">
              <w:rPr>
                <w:rFonts w:ascii="宋体" w:hAnsi="宋体" w:hint="eastAsia"/>
                <w:sz w:val="24"/>
              </w:rPr>
              <w:t>，</w:t>
            </w:r>
            <w:r w:rsidRPr="00FC41D6">
              <w:rPr>
                <w:rFonts w:ascii="宋体" w:hAnsi="宋体" w:hint="eastAsia"/>
                <w:sz w:val="24"/>
              </w:rPr>
              <w:t>2019年上半年公司的</w:t>
            </w:r>
            <w:r w:rsidR="003B058C">
              <w:rPr>
                <w:rFonts w:ascii="宋体" w:hAnsi="宋体" w:hint="eastAsia"/>
                <w:sz w:val="24"/>
              </w:rPr>
              <w:t>实际</w:t>
            </w:r>
            <w:r w:rsidRPr="00FC41D6">
              <w:rPr>
                <w:rFonts w:ascii="宋体" w:hAnsi="宋体" w:hint="eastAsia"/>
                <w:sz w:val="24"/>
              </w:rPr>
              <w:t>产量、销量水平如何？计划完成率什么水平？公司如何实现增产？2019年生产检修计划如何？未来三年的高炉大修安排？</w:t>
            </w:r>
          </w:p>
          <w:p w:rsidR="00123B1C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FC41D6">
              <w:rPr>
                <w:rFonts w:ascii="宋体" w:hAnsi="宋体" w:hint="eastAsia"/>
                <w:sz w:val="24"/>
              </w:rPr>
              <w:t>公司上半年</w:t>
            </w:r>
            <w:r w:rsidR="00123B1C">
              <w:rPr>
                <w:rFonts w:ascii="宋体" w:hAnsi="宋体" w:hint="eastAsia"/>
                <w:sz w:val="24"/>
              </w:rPr>
              <w:t>在全体员工的共同努力下，</w:t>
            </w:r>
            <w:proofErr w:type="gramStart"/>
            <w:r w:rsidR="00123B1C" w:rsidRPr="00FC41D6">
              <w:rPr>
                <w:rFonts w:ascii="宋体" w:hAnsi="宋体" w:hint="eastAsia"/>
                <w:sz w:val="24"/>
              </w:rPr>
              <w:t>铁区通过</w:t>
            </w:r>
            <w:proofErr w:type="gramEnd"/>
            <w:r w:rsidR="00123B1C" w:rsidRPr="00FC41D6">
              <w:rPr>
                <w:rFonts w:ascii="宋体" w:hAnsi="宋体" w:hint="eastAsia"/>
                <w:sz w:val="24"/>
              </w:rPr>
              <w:t>稳定配矿结构，</w:t>
            </w:r>
            <w:proofErr w:type="gramStart"/>
            <w:r w:rsidR="00123B1C" w:rsidRPr="00FC41D6">
              <w:rPr>
                <w:rFonts w:ascii="宋体" w:hAnsi="宋体" w:hint="eastAsia"/>
                <w:sz w:val="24"/>
              </w:rPr>
              <w:t>发挥铁区集控</w:t>
            </w:r>
            <w:proofErr w:type="gramEnd"/>
            <w:r w:rsidR="00123B1C" w:rsidRPr="00FC41D6">
              <w:rPr>
                <w:rFonts w:ascii="宋体" w:hAnsi="宋体" w:hint="eastAsia"/>
                <w:sz w:val="24"/>
              </w:rPr>
              <w:t>优势，保持了炼铁生产的高效稳定；通过降低铁钢比、</w:t>
            </w:r>
            <w:proofErr w:type="gramStart"/>
            <w:r w:rsidR="00123B1C" w:rsidRPr="00FC41D6">
              <w:rPr>
                <w:rFonts w:ascii="宋体" w:hAnsi="宋体" w:hint="eastAsia"/>
                <w:sz w:val="24"/>
              </w:rPr>
              <w:t>节铁增</w:t>
            </w:r>
            <w:proofErr w:type="gramEnd"/>
            <w:r w:rsidR="00123B1C" w:rsidRPr="00FC41D6">
              <w:rPr>
                <w:rFonts w:ascii="宋体" w:hAnsi="宋体" w:hint="eastAsia"/>
                <w:sz w:val="24"/>
              </w:rPr>
              <w:t>钢等措施，提升钢产量。</w:t>
            </w:r>
          </w:p>
          <w:p w:rsidR="00123B1C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铁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C41D6">
              <w:rPr>
                <w:rFonts w:ascii="宋体" w:hAnsi="宋体" w:hint="eastAsia"/>
                <w:sz w:val="24"/>
              </w:rPr>
              <w:t>钢、钢材产</w:t>
            </w:r>
            <w:r w:rsidR="00EE6958">
              <w:rPr>
                <w:rFonts w:ascii="宋体" w:hAnsi="宋体" w:hint="eastAsia"/>
                <w:sz w:val="24"/>
              </w:rPr>
              <w:t>销</w:t>
            </w:r>
            <w:r w:rsidRPr="00FC41D6">
              <w:rPr>
                <w:rFonts w:ascii="宋体" w:hAnsi="宋体" w:hint="eastAsia"/>
                <w:sz w:val="24"/>
              </w:rPr>
              <w:t>量</w:t>
            </w:r>
            <w:r w:rsidR="00123B1C">
              <w:rPr>
                <w:rFonts w:ascii="宋体" w:hAnsi="宋体" w:hint="eastAsia"/>
                <w:sz w:val="24"/>
              </w:rPr>
              <w:t>均顺利完成</w:t>
            </w:r>
            <w:r w:rsidR="00EE6958">
              <w:rPr>
                <w:rFonts w:ascii="宋体" w:hAnsi="宋体" w:hint="eastAsia"/>
                <w:sz w:val="24"/>
              </w:rPr>
              <w:t>公司预算</w:t>
            </w:r>
            <w:r w:rsidR="00123B1C">
              <w:rPr>
                <w:rFonts w:ascii="宋体" w:hAnsi="宋体" w:hint="eastAsia"/>
                <w:sz w:val="24"/>
              </w:rPr>
              <w:t>目标</w:t>
            </w:r>
            <w:r w:rsidRPr="00FC41D6">
              <w:rPr>
                <w:rFonts w:ascii="宋体" w:hAnsi="宋体" w:hint="eastAsia"/>
                <w:sz w:val="24"/>
              </w:rPr>
              <w:t>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lastRenderedPageBreak/>
              <w:t>2019年</w:t>
            </w:r>
            <w:r w:rsidR="00A67238">
              <w:rPr>
                <w:rFonts w:ascii="宋体" w:hAnsi="宋体" w:hint="eastAsia"/>
                <w:sz w:val="24"/>
              </w:rPr>
              <w:t>上半年主要按计划完成了焦化、高炉正常的年修项目，下</w:t>
            </w:r>
            <w:r w:rsidRPr="00FC41D6">
              <w:rPr>
                <w:rFonts w:ascii="宋体" w:hAnsi="宋体" w:hint="eastAsia"/>
                <w:sz w:val="24"/>
              </w:rPr>
              <w:t>半年，公司还将安排2座转炉、</w:t>
            </w:r>
            <w:r w:rsidR="00A67238">
              <w:rPr>
                <w:rFonts w:ascii="宋体" w:hAnsi="宋体" w:hint="eastAsia"/>
                <w:sz w:val="24"/>
              </w:rPr>
              <w:t>2条轧线</w:t>
            </w:r>
            <w:r w:rsidRPr="00FC41D6">
              <w:rPr>
                <w:rFonts w:ascii="宋体" w:hAnsi="宋体" w:hint="eastAsia"/>
                <w:sz w:val="24"/>
              </w:rPr>
              <w:t>的年修计划</w:t>
            </w:r>
            <w:r w:rsidR="00A67238">
              <w:rPr>
                <w:rFonts w:ascii="宋体" w:hAnsi="宋体" w:hint="eastAsia"/>
                <w:sz w:val="24"/>
              </w:rPr>
              <w:t>，时间各为10天左右</w:t>
            </w:r>
            <w:r w:rsidRPr="00FC41D6">
              <w:rPr>
                <w:rFonts w:ascii="宋体" w:hAnsi="宋体" w:hint="eastAsia"/>
                <w:sz w:val="24"/>
              </w:rPr>
              <w:t>。未来三年，公司将根据高炉使用寿命和炉况，计划启动1座高炉的</w:t>
            </w:r>
            <w:r w:rsidR="00A67238">
              <w:rPr>
                <w:rFonts w:ascii="宋体" w:hAnsi="宋体" w:hint="eastAsia"/>
                <w:sz w:val="24"/>
              </w:rPr>
              <w:t>易地</w:t>
            </w:r>
            <w:r w:rsidRPr="00FC41D6">
              <w:rPr>
                <w:rFonts w:ascii="宋体" w:hAnsi="宋体" w:hint="eastAsia"/>
                <w:sz w:val="24"/>
              </w:rPr>
              <w:t>大修准备工作。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宝特韶关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目前的生产经营、产品认证情况何如？2018年的业绩贡献如何？</w:t>
            </w:r>
          </w:p>
          <w:p w:rsidR="00A67238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宝特韶关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目前生产经营情况良好，受汽车行业下滑影响，汽车用钢订单量有所下滑，通过大湾区先进装备制造行业订单及出口订单增量进行了补充。</w:t>
            </w:r>
            <w:r w:rsidR="00A67238" w:rsidRPr="00FC41D6">
              <w:rPr>
                <w:rFonts w:ascii="宋体" w:hAnsi="宋体" w:hint="eastAsia"/>
                <w:sz w:val="24"/>
              </w:rPr>
              <w:t>2019年上半年新增客户47家、新增认证11项。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201</w:t>
            </w:r>
            <w:r w:rsidR="00A67238">
              <w:rPr>
                <w:rFonts w:ascii="宋体" w:hAnsi="宋体" w:hint="eastAsia"/>
                <w:sz w:val="24"/>
              </w:rPr>
              <w:t>8</w:t>
            </w:r>
            <w:proofErr w:type="gramStart"/>
            <w:r w:rsidR="00A67238">
              <w:rPr>
                <w:rFonts w:ascii="宋体" w:hAnsi="宋体" w:hint="eastAsia"/>
                <w:sz w:val="24"/>
              </w:rPr>
              <w:t>宝特韶关</w:t>
            </w:r>
            <w:proofErr w:type="gramEnd"/>
            <w:r w:rsidR="00A67238">
              <w:rPr>
                <w:rFonts w:ascii="宋体" w:hAnsi="宋体" w:hint="eastAsia"/>
                <w:sz w:val="24"/>
              </w:rPr>
              <w:t>利润约1亿元，2019年上半年毛利情况同比</w:t>
            </w:r>
            <w:proofErr w:type="gramStart"/>
            <w:r w:rsidR="00A67238">
              <w:rPr>
                <w:rFonts w:ascii="宋体" w:hAnsi="宋体" w:hint="eastAsia"/>
                <w:sz w:val="24"/>
              </w:rPr>
              <w:t>与普材相似</w:t>
            </w:r>
            <w:proofErr w:type="gramEnd"/>
            <w:r w:rsidR="00A67238">
              <w:rPr>
                <w:rFonts w:ascii="宋体" w:hAnsi="宋体" w:hint="eastAsia"/>
                <w:sz w:val="24"/>
              </w:rPr>
              <w:t>，稍有下滑</w:t>
            </w:r>
            <w:r w:rsidRPr="00FC41D6">
              <w:rPr>
                <w:rFonts w:ascii="宋体" w:hAnsi="宋体" w:hint="eastAsia"/>
                <w:sz w:val="24"/>
              </w:rPr>
              <w:t>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FC41D6">
              <w:rPr>
                <w:rFonts w:ascii="宋体" w:hAnsi="宋体" w:hint="eastAsia"/>
                <w:sz w:val="24"/>
              </w:rPr>
              <w:t>公司将充分利用区域市场优势，大力调整产品结构，聚焦中高端棒线，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普转优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，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优转特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，积极投身粤港澳大湾区国家战略建设，利用华南地区资源优势，力争将公司打造成为华南地区最具竞争力的钢铁产品及服务供应商，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成为宝武集团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高端棒线制造基地。公司如何实现产品结构的提升？</w:t>
            </w:r>
          </w:p>
          <w:p w:rsidR="002A06BD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FC41D6">
              <w:rPr>
                <w:rFonts w:ascii="宋体" w:hAnsi="宋体" w:hint="eastAsia"/>
                <w:sz w:val="24"/>
              </w:rPr>
              <w:t>公司</w:t>
            </w:r>
            <w:r w:rsidR="00A67238">
              <w:rPr>
                <w:rFonts w:ascii="宋体" w:hAnsi="宋体" w:hint="eastAsia"/>
                <w:sz w:val="24"/>
              </w:rPr>
              <w:t>已启动</w:t>
            </w:r>
            <w:r w:rsidRPr="00FC41D6">
              <w:rPr>
                <w:rFonts w:ascii="宋体" w:hAnsi="宋体" w:hint="eastAsia"/>
                <w:sz w:val="24"/>
              </w:rPr>
              <w:t>新建高速线材（大盘卷）生产线</w:t>
            </w:r>
            <w:r w:rsidR="00A67238">
              <w:rPr>
                <w:rFonts w:ascii="宋体" w:hAnsi="宋体" w:hint="eastAsia"/>
                <w:sz w:val="24"/>
              </w:rPr>
              <w:t>，投入生产后，将</w:t>
            </w:r>
            <w:r w:rsidR="002A06BD">
              <w:rPr>
                <w:rFonts w:ascii="宋体" w:hAnsi="宋体" w:hint="eastAsia"/>
                <w:sz w:val="24"/>
              </w:rPr>
              <w:t>进一步补充、提升高端工业线材的品种、品质，</w:t>
            </w:r>
            <w:r w:rsidRPr="00FC41D6">
              <w:rPr>
                <w:rFonts w:ascii="宋体" w:hAnsi="宋体" w:hint="eastAsia"/>
                <w:sz w:val="24"/>
              </w:rPr>
              <w:t>配套6号方坯连铸机</w:t>
            </w:r>
            <w:r w:rsidR="002A06BD">
              <w:rPr>
                <w:rFonts w:ascii="宋体" w:hAnsi="宋体" w:hint="eastAsia"/>
                <w:sz w:val="24"/>
              </w:rPr>
              <w:t>预计</w:t>
            </w:r>
            <w:r w:rsidRPr="00FC41D6">
              <w:rPr>
                <w:rFonts w:ascii="宋体" w:hAnsi="宋体" w:hint="eastAsia"/>
                <w:sz w:val="24"/>
              </w:rPr>
              <w:t>将</w:t>
            </w:r>
            <w:r w:rsidR="002A06BD">
              <w:rPr>
                <w:rFonts w:ascii="宋体" w:hAnsi="宋体" w:hint="eastAsia"/>
                <w:sz w:val="24"/>
              </w:rPr>
              <w:t>在年底</w:t>
            </w:r>
            <w:r w:rsidRPr="00FC41D6">
              <w:rPr>
                <w:rFonts w:ascii="宋体" w:hAnsi="宋体" w:hint="eastAsia"/>
                <w:sz w:val="24"/>
              </w:rPr>
              <w:t>热负荷试车，</w:t>
            </w:r>
            <w:proofErr w:type="gramStart"/>
            <w:r w:rsidR="002A06BD">
              <w:rPr>
                <w:rFonts w:ascii="宋体" w:hAnsi="宋体" w:hint="eastAsia"/>
                <w:sz w:val="24"/>
              </w:rPr>
              <w:t>工艺产线将</w:t>
            </w:r>
            <w:proofErr w:type="gramEnd"/>
            <w:r w:rsidR="002A06BD">
              <w:rPr>
                <w:rFonts w:ascii="宋体" w:hAnsi="宋体" w:hint="eastAsia"/>
                <w:sz w:val="24"/>
              </w:rPr>
              <w:t>更为匹配</w:t>
            </w:r>
            <w:r w:rsidRPr="00FC41D6">
              <w:rPr>
                <w:rFonts w:ascii="宋体" w:hAnsi="宋体" w:hint="eastAsia"/>
                <w:sz w:val="24"/>
              </w:rPr>
              <w:t>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同时，公司通过与</w:t>
            </w:r>
            <w:r>
              <w:rPr>
                <w:rFonts w:ascii="宋体" w:hAnsi="宋体" w:hint="eastAsia"/>
                <w:sz w:val="24"/>
              </w:rPr>
              <w:t>各大</w:t>
            </w:r>
            <w:r w:rsidRPr="00FC41D6">
              <w:rPr>
                <w:rFonts w:ascii="宋体" w:hAnsi="宋体" w:hint="eastAsia"/>
                <w:sz w:val="24"/>
              </w:rPr>
              <w:t>专业院校持续开展众多新产品、新工艺的研究开发，通过设立的博士后工作站进行冶金基础理论研究，全面提升公司高端棒线材产品的研发和产业化应用能力。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FC41D6">
              <w:rPr>
                <w:rFonts w:ascii="宋体" w:hAnsi="宋体" w:hint="eastAsia"/>
                <w:sz w:val="24"/>
              </w:rPr>
              <w:t>公司目前的订单情况？公司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如何看粤港澳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大湾区建设？未来怎么看需求？</w:t>
            </w:r>
          </w:p>
          <w:p w:rsidR="00FC41D6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FC41D6">
              <w:rPr>
                <w:rFonts w:ascii="宋体" w:hAnsi="宋体" w:hint="eastAsia"/>
                <w:sz w:val="24"/>
              </w:rPr>
              <w:t>公司6、7月份接单正常，产销情况良好，全品种库存维持在</w:t>
            </w:r>
            <w:r w:rsidR="002A06BD">
              <w:rPr>
                <w:rFonts w:ascii="宋体" w:hAnsi="宋体" w:hint="eastAsia"/>
                <w:sz w:val="24"/>
              </w:rPr>
              <w:t>3-4天左右产量</w:t>
            </w:r>
            <w:r w:rsidRPr="00FC41D6">
              <w:rPr>
                <w:rFonts w:ascii="宋体" w:hAnsi="宋体" w:hint="eastAsia"/>
                <w:sz w:val="24"/>
              </w:rPr>
              <w:t>，属于正常的周转库存。《粤港澳大湾区发展规划纲要》已出台，</w:t>
            </w:r>
            <w:r w:rsidR="009820EA">
              <w:rPr>
                <w:rFonts w:ascii="宋体" w:hAnsi="宋体" w:hint="eastAsia"/>
                <w:sz w:val="24"/>
              </w:rPr>
              <w:t>公司</w:t>
            </w:r>
            <w:r w:rsidRPr="00FC41D6">
              <w:rPr>
                <w:rFonts w:ascii="宋体" w:hAnsi="宋体" w:hint="eastAsia"/>
                <w:sz w:val="24"/>
              </w:rPr>
              <w:t>已专门组织团队跟进相关事宜。从江门、广州等大湾区城市陆续出台政策看，涉及钢材需求的集中在：城乡建设、交通（公路、高铁、城轨、港口、机场等）、能源（核电、LNG等）、高端装备制造业、汽车、家电等。</w:t>
            </w:r>
            <w:proofErr w:type="gramStart"/>
            <w:r w:rsidRPr="00FC41D6">
              <w:rPr>
                <w:rFonts w:ascii="宋体" w:hAnsi="宋体" w:hint="eastAsia"/>
                <w:sz w:val="24"/>
              </w:rPr>
              <w:t>韶</w:t>
            </w:r>
            <w:proofErr w:type="gramEnd"/>
            <w:r w:rsidRPr="00FC41D6">
              <w:rPr>
                <w:rFonts w:ascii="宋体" w:hAnsi="宋体" w:hint="eastAsia"/>
                <w:sz w:val="24"/>
              </w:rPr>
              <w:t>钢产品品牌及区位优</w:t>
            </w:r>
            <w:r w:rsidRPr="00FC41D6">
              <w:rPr>
                <w:rFonts w:ascii="宋体" w:hAnsi="宋体" w:hint="eastAsia"/>
                <w:sz w:val="24"/>
              </w:rPr>
              <w:lastRenderedPageBreak/>
              <w:t>势，可实现建材、板材、工业材、特钢等产品的协同快速成长壮大。未来2-3年内，广东钢材表观消费量</w:t>
            </w:r>
            <w:r w:rsidR="009820EA">
              <w:rPr>
                <w:rFonts w:ascii="宋体" w:hAnsi="宋体" w:hint="eastAsia"/>
                <w:sz w:val="24"/>
              </w:rPr>
              <w:t>或稳中略增</w:t>
            </w:r>
            <w:r w:rsidRPr="00FC41D6">
              <w:rPr>
                <w:rFonts w:ascii="宋体" w:hAnsi="宋体" w:hint="eastAsia"/>
                <w:sz w:val="24"/>
              </w:rPr>
              <w:t>。主要促进因素是国家城镇化建设、粤港澳大湾区发展等国家层面政策出台，对于广东基建、制造业升级、及出口（零部件、模具等）等有</w:t>
            </w:r>
            <w:r w:rsidR="009820EA">
              <w:rPr>
                <w:rFonts w:ascii="宋体" w:hAnsi="宋体" w:hint="eastAsia"/>
                <w:sz w:val="24"/>
              </w:rPr>
              <w:t>或有</w:t>
            </w:r>
            <w:r w:rsidRPr="00FC41D6">
              <w:rPr>
                <w:rFonts w:ascii="宋体" w:hAnsi="宋体" w:hint="eastAsia"/>
                <w:sz w:val="24"/>
              </w:rPr>
              <w:t>提振作用。</w:t>
            </w:r>
          </w:p>
          <w:p w:rsidR="00051971" w:rsidRPr="00FC41D6" w:rsidRDefault="00FC41D6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FC41D6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FC41D6">
              <w:rPr>
                <w:rFonts w:ascii="宋体" w:hAnsi="宋体" w:hint="eastAsia"/>
                <w:sz w:val="24"/>
              </w:rPr>
              <w:t>根据公司发布的《2019年度基建技改项目投资框架计划的公告》，公司目前的基建技改项目具体是？目前的进度何如？</w:t>
            </w:r>
          </w:p>
          <w:p w:rsidR="004C62BE" w:rsidRDefault="00BB1B05" w:rsidP="004C62BE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proofErr w:type="gramStart"/>
            <w:r w:rsidR="004C62BE">
              <w:rPr>
                <w:rFonts w:ascii="宋体" w:hAnsi="宋体" w:hint="eastAsia"/>
                <w:sz w:val="24"/>
              </w:rPr>
              <w:t>产线方面</w:t>
            </w:r>
            <w:proofErr w:type="gramEnd"/>
            <w:r w:rsidR="004C62BE">
              <w:rPr>
                <w:rFonts w:ascii="宋体" w:hAnsi="宋体" w:hint="eastAsia"/>
                <w:sz w:val="24"/>
              </w:rPr>
              <w:t>主要</w:t>
            </w:r>
            <w:r w:rsidR="004C62BE" w:rsidRPr="006A51C9">
              <w:rPr>
                <w:rFonts w:ascii="宋体" w:hAnsi="宋体" w:hint="eastAsia"/>
                <w:sz w:val="24"/>
              </w:rPr>
              <w:t>围绕</w:t>
            </w:r>
            <w:r w:rsidR="0073646A" w:rsidRPr="006A51C9">
              <w:rPr>
                <w:rFonts w:ascii="宋体" w:hAnsi="宋体" w:hint="eastAsia"/>
                <w:sz w:val="24"/>
              </w:rPr>
              <w:t>炼钢厂6号连铸机技术改造、能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介</w:t>
            </w:r>
            <w:proofErr w:type="gramEnd"/>
            <w:r w:rsidR="0073646A" w:rsidRPr="006A51C9">
              <w:rPr>
                <w:rFonts w:ascii="宋体" w:hAnsi="宋体" w:hint="eastAsia"/>
                <w:sz w:val="24"/>
              </w:rPr>
              <w:t>集中操作监控中心、高三线智能工厂建设、铁路运输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无人化</w:t>
            </w:r>
            <w:proofErr w:type="gramEnd"/>
            <w:r w:rsidR="0073646A">
              <w:rPr>
                <w:rFonts w:ascii="宋体" w:hAnsi="宋体" w:hint="eastAsia"/>
                <w:sz w:val="24"/>
              </w:rPr>
              <w:t>等</w:t>
            </w:r>
            <w:r w:rsidR="004C62BE" w:rsidRPr="006A51C9">
              <w:rPr>
                <w:rFonts w:ascii="宋体" w:hAnsi="宋体" w:hint="eastAsia"/>
                <w:sz w:val="24"/>
              </w:rPr>
              <w:t>转型升级、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铁区集中</w:t>
            </w:r>
            <w:proofErr w:type="gramEnd"/>
            <w:r w:rsidR="0073646A" w:rsidRPr="006A51C9">
              <w:rPr>
                <w:rFonts w:ascii="宋体" w:hAnsi="宋体" w:hint="eastAsia"/>
                <w:sz w:val="24"/>
              </w:rPr>
              <w:t>操作监控中心</w:t>
            </w:r>
            <w:r w:rsidR="0073646A">
              <w:rPr>
                <w:rFonts w:ascii="宋体" w:hAnsi="宋体" w:hint="eastAsia"/>
                <w:sz w:val="24"/>
              </w:rPr>
              <w:t>，以达到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产线优化</w:t>
            </w:r>
            <w:proofErr w:type="gramEnd"/>
            <w:r w:rsidR="0073646A" w:rsidRPr="006A51C9">
              <w:rPr>
                <w:rFonts w:ascii="宋体" w:hAnsi="宋体"/>
                <w:sz w:val="24"/>
              </w:rPr>
              <w:t>、</w:t>
            </w:r>
            <w:r w:rsidR="0073646A" w:rsidRPr="006A51C9">
              <w:rPr>
                <w:rFonts w:ascii="宋体" w:hAnsi="宋体" w:hint="eastAsia"/>
                <w:sz w:val="24"/>
              </w:rPr>
              <w:t>降本增效、劳动生产率提高</w:t>
            </w:r>
            <w:r w:rsidR="0073646A">
              <w:rPr>
                <w:rFonts w:ascii="宋体" w:hAnsi="宋体" w:hint="eastAsia"/>
                <w:sz w:val="24"/>
              </w:rPr>
              <w:t>；信息化方面主要围绕</w:t>
            </w:r>
            <w:r w:rsidR="0073646A" w:rsidRPr="006A51C9">
              <w:rPr>
                <w:rFonts w:ascii="宋体" w:hAnsi="宋体" w:hint="eastAsia"/>
                <w:sz w:val="24"/>
              </w:rPr>
              <w:t>物流动态管控系统升级改造、设备管理系统升级改造</w:t>
            </w:r>
            <w:r w:rsidR="0073646A">
              <w:rPr>
                <w:rFonts w:ascii="宋体" w:hAnsi="宋体" w:hint="eastAsia"/>
                <w:sz w:val="24"/>
              </w:rPr>
              <w:t>、</w:t>
            </w:r>
            <w:r w:rsidR="0073646A" w:rsidRPr="006A51C9">
              <w:rPr>
                <w:rFonts w:ascii="宋体" w:hAnsi="宋体" w:hint="eastAsia"/>
                <w:sz w:val="24"/>
              </w:rPr>
              <w:t>炼钢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一</w:t>
            </w:r>
            <w:proofErr w:type="gramEnd"/>
            <w:r w:rsidR="0073646A" w:rsidRPr="006A51C9">
              <w:rPr>
                <w:rFonts w:ascii="宋体" w:hAnsi="宋体" w:hint="eastAsia"/>
                <w:sz w:val="24"/>
              </w:rPr>
              <w:t>分厂L2系统升级改造、高三L3-L5信息化系统建设</w:t>
            </w:r>
            <w:r w:rsidR="0073646A">
              <w:rPr>
                <w:rFonts w:ascii="宋体" w:hAnsi="宋体" w:hint="eastAsia"/>
                <w:sz w:val="24"/>
              </w:rPr>
              <w:t>，</w:t>
            </w:r>
            <w:r w:rsidR="0073646A" w:rsidRPr="006A51C9">
              <w:rPr>
                <w:rFonts w:ascii="宋体" w:hAnsi="宋体" w:hint="eastAsia"/>
                <w:sz w:val="24"/>
              </w:rPr>
              <w:t>以提升管理效率、提高对生产销售工序有关指标的控制能力</w:t>
            </w:r>
            <w:r w:rsidR="0073646A">
              <w:rPr>
                <w:rFonts w:ascii="宋体" w:hAnsi="宋体" w:hint="eastAsia"/>
                <w:sz w:val="24"/>
              </w:rPr>
              <w:t>；节能环保方面主要围绕</w:t>
            </w:r>
            <w:r w:rsidR="0073646A" w:rsidRPr="006A51C9">
              <w:rPr>
                <w:rFonts w:ascii="宋体" w:hAnsi="宋体" w:hint="eastAsia"/>
                <w:sz w:val="24"/>
              </w:rPr>
              <w:t>高炉鼓风机节能技术改造、烧结机烟气脱硝能力提升技术改造、25万吨</w:t>
            </w:r>
            <w:proofErr w:type="gramStart"/>
            <w:r w:rsidR="0073646A" w:rsidRPr="006A51C9">
              <w:rPr>
                <w:rFonts w:ascii="宋体" w:hAnsi="宋体" w:hint="eastAsia"/>
                <w:sz w:val="24"/>
              </w:rPr>
              <w:t>转底炉</w:t>
            </w:r>
            <w:proofErr w:type="gramEnd"/>
            <w:r w:rsidR="0073646A" w:rsidRPr="006A51C9">
              <w:rPr>
                <w:rFonts w:ascii="宋体" w:hAnsi="宋体" w:hint="eastAsia"/>
                <w:sz w:val="24"/>
              </w:rPr>
              <w:t>处理含锌尘泥环保综合利用</w:t>
            </w:r>
            <w:r w:rsidR="0073646A">
              <w:rPr>
                <w:rFonts w:ascii="宋体" w:hAnsi="宋体" w:hint="eastAsia"/>
                <w:sz w:val="24"/>
              </w:rPr>
              <w:t>、</w:t>
            </w:r>
            <w:r w:rsidR="0073646A" w:rsidRPr="006A51C9">
              <w:rPr>
                <w:rFonts w:ascii="宋体" w:hAnsi="宋体" w:hint="eastAsia"/>
                <w:sz w:val="24"/>
              </w:rPr>
              <w:t>烧结机环保改造、原料系统环保改造、6#、7#焦炉烟气脱硫脱硝</w:t>
            </w:r>
            <w:r w:rsidR="0073646A">
              <w:rPr>
                <w:rFonts w:ascii="宋体" w:hAnsi="宋体" w:hint="eastAsia"/>
                <w:sz w:val="24"/>
              </w:rPr>
              <w:t>等，以达到改善工作</w:t>
            </w:r>
            <w:r w:rsidR="0073646A" w:rsidRPr="006A51C9">
              <w:rPr>
                <w:rFonts w:ascii="宋体" w:hAnsi="宋体" w:hint="eastAsia"/>
                <w:sz w:val="24"/>
              </w:rPr>
              <w:t>环境、减少污染物排放、节能降耗为目的，实现钢铁企业与城市和谐共融</w:t>
            </w:r>
            <w:r w:rsidR="00B631EB">
              <w:rPr>
                <w:rFonts w:ascii="宋体" w:hAnsi="宋体" w:hint="eastAsia"/>
                <w:sz w:val="24"/>
              </w:rPr>
              <w:t>。</w:t>
            </w:r>
          </w:p>
          <w:p w:rsidR="004C62BE" w:rsidRPr="00B631EB" w:rsidRDefault="004C62BE" w:rsidP="004C62BE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Pr="00B631EB">
              <w:rPr>
                <w:rFonts w:ascii="宋体" w:hAnsi="宋体" w:hint="eastAsia"/>
                <w:sz w:val="24"/>
              </w:rPr>
              <w:t>公司二季度整体吨钢毛利处在什么水平？边际变化何如？预计三季度的边际变化方向？</w:t>
            </w:r>
            <w:r w:rsidRPr="00B631EB">
              <w:rPr>
                <w:rFonts w:ascii="宋体" w:hAnsi="宋体"/>
                <w:sz w:val="24"/>
              </w:rPr>
              <w:t xml:space="preserve"> </w:t>
            </w:r>
          </w:p>
          <w:p w:rsidR="004C62BE" w:rsidRPr="004C62BE" w:rsidRDefault="00B83AC0" w:rsidP="00B83A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今年以来</w:t>
            </w:r>
            <w:r w:rsidRPr="00B83AC0">
              <w:rPr>
                <w:rFonts w:ascii="宋体" w:hAnsi="宋体" w:hint="eastAsia"/>
                <w:sz w:val="24"/>
              </w:rPr>
              <w:t>全国粗钢产量</w:t>
            </w:r>
            <w:r>
              <w:rPr>
                <w:rFonts w:ascii="宋体" w:hAnsi="宋体" w:hint="eastAsia"/>
                <w:sz w:val="24"/>
              </w:rPr>
              <w:t>一直稳</w:t>
            </w:r>
            <w:r w:rsidR="009820EA">
              <w:rPr>
                <w:rFonts w:ascii="宋体" w:hAnsi="宋体" w:hint="eastAsia"/>
                <w:sz w:val="24"/>
              </w:rPr>
              <w:t>中有</w:t>
            </w:r>
            <w:r>
              <w:rPr>
                <w:rFonts w:ascii="宋体" w:hAnsi="宋体" w:hint="eastAsia"/>
                <w:sz w:val="24"/>
              </w:rPr>
              <w:t>增</w:t>
            </w:r>
            <w:r w:rsidRPr="00B83AC0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矿石等原材料价格一路走高</w:t>
            </w:r>
            <w:r w:rsidRPr="00B83AC0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钢厂的</w:t>
            </w:r>
            <w:r w:rsidRPr="00B83AC0">
              <w:rPr>
                <w:rFonts w:ascii="宋体" w:hAnsi="宋体" w:hint="eastAsia"/>
                <w:sz w:val="24"/>
              </w:rPr>
              <w:t>成本</w:t>
            </w:r>
            <w:r>
              <w:rPr>
                <w:rFonts w:ascii="宋体" w:hAnsi="宋体" w:hint="eastAsia"/>
                <w:sz w:val="24"/>
              </w:rPr>
              <w:t>普遍</w:t>
            </w:r>
            <w:r w:rsidRPr="00B83AC0">
              <w:rPr>
                <w:rFonts w:ascii="宋体" w:hAnsi="宋体" w:hint="eastAsia"/>
                <w:sz w:val="24"/>
              </w:rPr>
              <w:t>在上升</w:t>
            </w:r>
            <w:r>
              <w:rPr>
                <w:rFonts w:ascii="宋体" w:hAnsi="宋体" w:hint="eastAsia"/>
                <w:sz w:val="24"/>
              </w:rPr>
              <w:t>，竞争的激烈程度或会加大，</w:t>
            </w:r>
            <w:r w:rsidR="004C62BE" w:rsidRPr="00B631EB">
              <w:rPr>
                <w:rFonts w:ascii="宋体" w:hAnsi="宋体" w:hint="eastAsia"/>
                <w:sz w:val="24"/>
              </w:rPr>
              <w:t>预计公司二季度吨钢</w:t>
            </w:r>
            <w:proofErr w:type="gramStart"/>
            <w:r w:rsidR="004C62BE" w:rsidRPr="00B631EB">
              <w:rPr>
                <w:rFonts w:ascii="宋体" w:hAnsi="宋体" w:hint="eastAsia"/>
                <w:sz w:val="24"/>
              </w:rPr>
              <w:t>毛利</w:t>
            </w:r>
            <w:r w:rsidR="00E0502C">
              <w:rPr>
                <w:rFonts w:ascii="宋体" w:hAnsi="宋体" w:hint="eastAsia"/>
                <w:sz w:val="24"/>
              </w:rPr>
              <w:t>环</w:t>
            </w:r>
            <w:proofErr w:type="gramEnd"/>
            <w:r w:rsidR="00E0502C">
              <w:rPr>
                <w:rFonts w:ascii="宋体" w:hAnsi="宋体" w:hint="eastAsia"/>
                <w:sz w:val="24"/>
              </w:rPr>
              <w:t>比</w:t>
            </w:r>
            <w:r w:rsidR="004C62BE" w:rsidRPr="00B631EB">
              <w:rPr>
                <w:rFonts w:ascii="宋体" w:hAnsi="宋体" w:hint="eastAsia"/>
                <w:sz w:val="24"/>
              </w:rPr>
              <w:t>一季度</w:t>
            </w:r>
            <w:r w:rsidR="009820EA">
              <w:rPr>
                <w:rFonts w:ascii="宋体" w:hAnsi="宋体" w:hint="eastAsia"/>
                <w:sz w:val="24"/>
              </w:rPr>
              <w:t>稍有</w:t>
            </w:r>
            <w:r>
              <w:rPr>
                <w:rFonts w:ascii="宋体" w:hAnsi="宋体" w:hint="eastAsia"/>
                <w:sz w:val="24"/>
              </w:rPr>
              <w:t>提高</w:t>
            </w:r>
            <w:r w:rsidR="004C62BE" w:rsidRPr="00B631EB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三季度的毛利现在尚无法预料</w:t>
            </w:r>
            <w:r w:rsidR="004C62BE" w:rsidRPr="00B631EB">
              <w:rPr>
                <w:rFonts w:ascii="宋体" w:hAnsi="宋体" w:hint="eastAsia"/>
                <w:sz w:val="24"/>
              </w:rPr>
              <w:t>。</w:t>
            </w:r>
          </w:p>
          <w:p w:rsidR="00FC41D6" w:rsidRPr="00FC41D6" w:rsidRDefault="00B83AC0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3B058C">
              <w:rPr>
                <w:rFonts w:ascii="宋体" w:hAnsi="宋体" w:hint="eastAsia"/>
                <w:sz w:val="24"/>
              </w:rPr>
              <w:t>.</w:t>
            </w:r>
            <w:r w:rsidR="00FC41D6" w:rsidRPr="00FC41D6">
              <w:rPr>
                <w:rFonts w:ascii="宋体" w:hAnsi="宋体" w:hint="eastAsia"/>
                <w:sz w:val="24"/>
              </w:rPr>
              <w:t>公司如何看待超低排放标准对钢铁行业的影响？公司对达到最低排放标准有无具体的时间表？</w:t>
            </w:r>
          </w:p>
          <w:p w:rsidR="00051971" w:rsidRPr="00FC41D6" w:rsidRDefault="003B058C" w:rsidP="00FC41D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9820EA">
              <w:rPr>
                <w:rFonts w:ascii="宋体" w:hAnsi="宋体" w:hint="eastAsia"/>
                <w:sz w:val="24"/>
              </w:rPr>
              <w:t>超低排放</w:t>
            </w:r>
            <w:r w:rsidR="00D05CFA">
              <w:rPr>
                <w:rFonts w:ascii="宋体" w:hAnsi="宋体" w:hint="eastAsia"/>
                <w:sz w:val="24"/>
              </w:rPr>
              <w:t>将</w:t>
            </w:r>
            <w:r w:rsidR="009820EA" w:rsidRPr="00D05CFA">
              <w:rPr>
                <w:rFonts w:ascii="宋体" w:hAnsi="宋体" w:hint="eastAsia"/>
                <w:sz w:val="24"/>
              </w:rPr>
              <w:t>提高钢铁行业的环保硬件水平，提升持续竞争力，减少污染物排放</w:t>
            </w:r>
            <w:r w:rsidR="00FC41D6" w:rsidRPr="00FC41D6">
              <w:rPr>
                <w:rFonts w:ascii="宋体" w:hAnsi="宋体" w:hint="eastAsia"/>
                <w:sz w:val="24"/>
              </w:rPr>
              <w:t>。</w:t>
            </w:r>
            <w:r w:rsidR="009820EA">
              <w:rPr>
                <w:rFonts w:ascii="宋体" w:hAnsi="宋体" w:hint="eastAsia"/>
                <w:sz w:val="24"/>
              </w:rPr>
              <w:t>要达到超低排放</w:t>
            </w:r>
            <w:r w:rsidR="00D05CFA">
              <w:rPr>
                <w:rFonts w:ascii="宋体" w:hAnsi="宋体" w:hint="eastAsia"/>
                <w:sz w:val="24"/>
              </w:rPr>
              <w:t>，</w:t>
            </w:r>
            <w:r w:rsidR="009820EA" w:rsidRPr="00D05CFA">
              <w:rPr>
                <w:rFonts w:ascii="宋体" w:hAnsi="宋体" w:hint="eastAsia"/>
                <w:sz w:val="24"/>
              </w:rPr>
              <w:t>企业不仅需要在前期投入较大的资金进行升级改造，后期还要投入相当的运维费用，钢厂的环保成本</w:t>
            </w:r>
            <w:r w:rsidR="00D05CFA" w:rsidRPr="00D05CFA">
              <w:rPr>
                <w:rFonts w:ascii="宋体" w:hAnsi="宋体" w:hint="eastAsia"/>
                <w:sz w:val="24"/>
              </w:rPr>
              <w:t>压力增大较为明显。公司已</w:t>
            </w:r>
            <w:r w:rsidR="00FC41D6" w:rsidRPr="00FC41D6">
              <w:rPr>
                <w:rFonts w:ascii="宋体" w:hAnsi="宋体" w:hint="eastAsia"/>
                <w:sz w:val="24"/>
              </w:rPr>
              <w:t>对炼</w:t>
            </w:r>
            <w:r w:rsidR="008946C6">
              <w:rPr>
                <w:rFonts w:ascii="宋体" w:hAnsi="宋体" w:hint="eastAsia"/>
                <w:sz w:val="24"/>
              </w:rPr>
              <w:t>铁</w:t>
            </w:r>
            <w:r w:rsidR="00FC41D6" w:rsidRPr="00FC41D6">
              <w:rPr>
                <w:rFonts w:ascii="宋体" w:hAnsi="宋体" w:hint="eastAsia"/>
                <w:sz w:val="24"/>
              </w:rPr>
              <w:t>、炼</w:t>
            </w:r>
            <w:r w:rsidR="008946C6">
              <w:rPr>
                <w:rFonts w:ascii="宋体" w:hAnsi="宋体" w:hint="eastAsia"/>
                <w:sz w:val="24"/>
              </w:rPr>
              <w:t>钢</w:t>
            </w:r>
            <w:r w:rsidR="00FC41D6" w:rsidRPr="00FC41D6">
              <w:rPr>
                <w:rFonts w:ascii="宋体" w:hAnsi="宋体" w:hint="eastAsia"/>
                <w:sz w:val="24"/>
              </w:rPr>
              <w:t>、特轧等主要生产单元进行了全面梳理，</w:t>
            </w:r>
            <w:r w:rsidR="00D05CFA">
              <w:rPr>
                <w:rFonts w:ascii="宋体" w:hAnsi="宋体" w:hint="eastAsia"/>
                <w:sz w:val="24"/>
              </w:rPr>
              <w:t>将</w:t>
            </w:r>
            <w:r w:rsidR="00FC41D6" w:rsidRPr="00FC41D6">
              <w:rPr>
                <w:rFonts w:ascii="宋体" w:hAnsi="宋体" w:hint="eastAsia"/>
                <w:sz w:val="24"/>
              </w:rPr>
              <w:t>根据技术、经济、</w:t>
            </w:r>
            <w:r w:rsidR="008946C6">
              <w:rPr>
                <w:rFonts w:ascii="宋体" w:hAnsi="宋体" w:hint="eastAsia"/>
                <w:sz w:val="24"/>
              </w:rPr>
              <w:t>资金、项目等统筹安</w:t>
            </w:r>
            <w:r w:rsidR="008946C6">
              <w:rPr>
                <w:rFonts w:ascii="宋体" w:hAnsi="宋体" w:hint="eastAsia"/>
                <w:sz w:val="24"/>
              </w:rPr>
              <w:lastRenderedPageBreak/>
              <w:t>排</w:t>
            </w:r>
            <w:r w:rsidR="00FC41D6" w:rsidRPr="00FC41D6">
              <w:rPr>
                <w:rFonts w:ascii="宋体" w:hAnsi="宋体" w:hint="eastAsia"/>
                <w:sz w:val="24"/>
              </w:rPr>
              <w:t>改造</w:t>
            </w:r>
            <w:r w:rsidR="00D05CFA">
              <w:rPr>
                <w:rFonts w:ascii="宋体" w:hAnsi="宋体" w:hint="eastAsia"/>
                <w:sz w:val="24"/>
              </w:rPr>
              <w:t>，会按相关要求稳步推进</w:t>
            </w:r>
            <w:r w:rsidR="00FC41D6" w:rsidRPr="00FC41D6">
              <w:rPr>
                <w:rFonts w:ascii="宋体" w:hAnsi="宋体" w:hint="eastAsia"/>
                <w:sz w:val="24"/>
              </w:rPr>
              <w:t>超低排放</w:t>
            </w:r>
            <w:r w:rsidR="00D05CFA">
              <w:rPr>
                <w:rFonts w:ascii="宋体" w:hAnsi="宋体" w:hint="eastAsia"/>
                <w:sz w:val="24"/>
              </w:rPr>
              <w:t>相关项目的实施和</w:t>
            </w:r>
            <w:r w:rsidR="00FC41D6" w:rsidRPr="00FC41D6">
              <w:rPr>
                <w:rFonts w:ascii="宋体" w:hAnsi="宋体" w:hint="eastAsia"/>
                <w:sz w:val="24"/>
              </w:rPr>
              <w:t>改造。</w:t>
            </w:r>
          </w:p>
          <w:p w:rsidR="00051971" w:rsidRPr="00B631EB" w:rsidRDefault="00051971" w:rsidP="001B25C6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5F5A32">
              <w:rPr>
                <w:rFonts w:ascii="宋体" w:hAnsi="宋体" w:hint="eastAsia"/>
                <w:sz w:val="24"/>
              </w:rPr>
              <w:t>接待过程中，公司接待人员与</w:t>
            </w:r>
            <w:r>
              <w:rPr>
                <w:rFonts w:ascii="宋体" w:hAnsi="宋体" w:hint="eastAsia"/>
                <w:sz w:val="24"/>
              </w:rPr>
              <w:t>调研机构相关人员</w:t>
            </w:r>
            <w:r w:rsidRPr="005F5A32">
              <w:rPr>
                <w:rFonts w:ascii="宋体" w:hAnsi="宋体" w:hint="eastAsia"/>
                <w:sz w:val="24"/>
              </w:rPr>
              <w:t>进行了充分的交流与沟通，严格按照有关制度规定，没有出现未公开重大信息泄露等情况。</w:t>
            </w:r>
          </w:p>
        </w:tc>
      </w:tr>
      <w:tr w:rsidR="00051971" w:rsidRPr="005F5A32" w:rsidTr="001B25C6">
        <w:trPr>
          <w:trHeight w:val="2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51971" w:rsidRPr="005F5A32" w:rsidTr="001B25C6">
        <w:trPr>
          <w:trHeight w:val="2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3B058C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051971" w:rsidRDefault="00051971" w:rsidP="00051971"/>
    <w:p w:rsidR="00CC2676" w:rsidRDefault="00CC2676"/>
    <w:p w:rsidR="00EB1FB5" w:rsidRPr="00CC2676" w:rsidRDefault="00CC2676" w:rsidP="00CC2676">
      <w:pPr>
        <w:tabs>
          <w:tab w:val="left" w:pos="6474"/>
        </w:tabs>
      </w:pPr>
      <w:r>
        <w:tab/>
      </w:r>
    </w:p>
    <w:sectPr w:rsidR="00EB1FB5" w:rsidRPr="00CC2676" w:rsidSect="007D600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FE" w:rsidRDefault="00D454FE" w:rsidP="006B3DE1">
      <w:r>
        <w:separator/>
      </w:r>
    </w:p>
  </w:endnote>
  <w:endnote w:type="continuationSeparator" w:id="0">
    <w:p w:rsidR="00D454FE" w:rsidRDefault="00D454FE" w:rsidP="006B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FE" w:rsidRDefault="00D454FE" w:rsidP="006B3DE1">
      <w:r>
        <w:separator/>
      </w:r>
    </w:p>
  </w:footnote>
  <w:footnote w:type="continuationSeparator" w:id="0">
    <w:p w:rsidR="00D454FE" w:rsidRDefault="00D454FE" w:rsidP="006B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C81585"/>
    <w:multiLevelType w:val="singleLevel"/>
    <w:tmpl w:val="A4C81585"/>
    <w:lvl w:ilvl="0">
      <w:start w:val="5"/>
      <w:numFmt w:val="decimal"/>
      <w:suff w:val="nothing"/>
      <w:lvlText w:val="%1、"/>
      <w:lvlJc w:val="left"/>
    </w:lvl>
  </w:abstractNum>
  <w:abstractNum w:abstractNumId="1">
    <w:nsid w:val="56356E77"/>
    <w:multiLevelType w:val="hybridMultilevel"/>
    <w:tmpl w:val="58F8878E"/>
    <w:lvl w:ilvl="0" w:tplc="36B07A0A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C21891"/>
    <w:multiLevelType w:val="hybridMultilevel"/>
    <w:tmpl w:val="3A2E4636"/>
    <w:lvl w:ilvl="0" w:tplc="A536749E">
      <w:start w:val="6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E66F41"/>
    <w:multiLevelType w:val="hybridMultilevel"/>
    <w:tmpl w:val="426C7DD8"/>
    <w:lvl w:ilvl="0" w:tplc="52004742">
      <w:start w:val="6"/>
      <w:numFmt w:val="decimal"/>
      <w:lvlText w:val="%1．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971"/>
    <w:rsid w:val="00051971"/>
    <w:rsid w:val="00123B1C"/>
    <w:rsid w:val="0014245A"/>
    <w:rsid w:val="002A06BD"/>
    <w:rsid w:val="002F2F35"/>
    <w:rsid w:val="00351716"/>
    <w:rsid w:val="003B058C"/>
    <w:rsid w:val="004C62BE"/>
    <w:rsid w:val="00531474"/>
    <w:rsid w:val="006A0BA2"/>
    <w:rsid w:val="006B3DE1"/>
    <w:rsid w:val="0073646A"/>
    <w:rsid w:val="00752C59"/>
    <w:rsid w:val="008946C6"/>
    <w:rsid w:val="009820EA"/>
    <w:rsid w:val="009D50D9"/>
    <w:rsid w:val="00A67238"/>
    <w:rsid w:val="00AE40BC"/>
    <w:rsid w:val="00B631EB"/>
    <w:rsid w:val="00B83AC0"/>
    <w:rsid w:val="00B94AC0"/>
    <w:rsid w:val="00BB1B05"/>
    <w:rsid w:val="00C0607B"/>
    <w:rsid w:val="00C17527"/>
    <w:rsid w:val="00C41C6C"/>
    <w:rsid w:val="00CC2676"/>
    <w:rsid w:val="00D054D0"/>
    <w:rsid w:val="00D05CFA"/>
    <w:rsid w:val="00D454FE"/>
    <w:rsid w:val="00E04FA1"/>
    <w:rsid w:val="00E0502C"/>
    <w:rsid w:val="00EB1FB5"/>
    <w:rsid w:val="00EE6958"/>
    <w:rsid w:val="00FB52C5"/>
    <w:rsid w:val="00FC41D6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qFormat/>
    <w:rsid w:val="00BB1B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B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3D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3DE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62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laiwanli</cp:lastModifiedBy>
  <cp:revision>14</cp:revision>
  <dcterms:created xsi:type="dcterms:W3CDTF">2019-07-02T08:29:00Z</dcterms:created>
  <dcterms:modified xsi:type="dcterms:W3CDTF">2019-07-04T03:12:00Z</dcterms:modified>
</cp:coreProperties>
</file>