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32" w:rsidRDefault="006C3E32" w:rsidP="006C3E32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 w:rsidRPr="00682628">
        <w:rPr>
          <w:rFonts w:hint="eastAsia"/>
          <w:bCs/>
          <w:iCs/>
          <w:color w:val="000000"/>
          <w:sz w:val="24"/>
        </w:rPr>
        <w:t>：</w:t>
      </w:r>
      <w:r w:rsidRPr="00682628">
        <w:rPr>
          <w:rFonts w:hint="eastAsia"/>
          <w:bCs/>
          <w:iCs/>
          <w:color w:val="000000"/>
          <w:sz w:val="24"/>
        </w:rPr>
        <w:t>000338</w:t>
      </w:r>
      <w:r>
        <w:rPr>
          <w:bCs/>
          <w:iCs/>
          <w:color w:val="000000"/>
          <w:sz w:val="24"/>
        </w:rPr>
        <w:t>.SZ/2338.HK</w:t>
      </w:r>
      <w:r>
        <w:rPr>
          <w:rFonts w:hint="eastAsia"/>
          <w:bCs/>
          <w:iCs/>
          <w:color w:val="000000"/>
          <w:sz w:val="24"/>
        </w:rPr>
        <w:t xml:space="preserve">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</w:t>
      </w:r>
      <w:r w:rsidR="004A7F12">
        <w:rPr>
          <w:rFonts w:ascii="宋体" w:hAnsi="宋体" w:hint="eastAsia"/>
          <w:bCs/>
          <w:iCs/>
          <w:color w:val="000000"/>
          <w:sz w:val="24"/>
        </w:rPr>
        <w:t xml:space="preserve">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证券简称：潍柴动力</w:t>
      </w:r>
    </w:p>
    <w:p w:rsidR="006C3E32" w:rsidRDefault="006C3E32" w:rsidP="006C3E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潍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柴动力股份有限公司投资者关系活动记录表</w:t>
      </w:r>
    </w:p>
    <w:p w:rsidR="006C3E32" w:rsidRPr="00CA5DA5" w:rsidRDefault="006C3E32" w:rsidP="006C3E32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>
        <w:rPr>
          <w:bCs/>
          <w:iCs/>
          <w:sz w:val="24"/>
        </w:rPr>
        <w:t>20190</w:t>
      </w:r>
      <w:r w:rsidR="00E209D1">
        <w:rPr>
          <w:bCs/>
          <w:iCs/>
          <w:sz w:val="24"/>
        </w:rPr>
        <w:t>703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14"/>
      </w:tblGrid>
      <w:tr w:rsidR="006C3E32" w:rsidRPr="00282A8E" w:rsidTr="00960CCF">
        <w:trPr>
          <w:trHeight w:val="28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3E32" w:rsidRPr="00282A8E" w:rsidRDefault="006C3E32" w:rsidP="00960CC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3E32" w:rsidRPr="00282A8E" w:rsidRDefault="006C3E32" w:rsidP="00960CC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3E32" w:rsidRPr="00282A8E" w:rsidRDefault="005C4270" w:rsidP="00960CC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4270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6C3E32" w:rsidRPr="00282A8E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6C3E32"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6C3E32" w:rsidRPr="00282A8E" w:rsidRDefault="006C3E32" w:rsidP="00960CC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E7B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82A8E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282A8E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282A8E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C3E32" w:rsidRPr="0085677A" w:rsidTr="00960CCF">
        <w:trPr>
          <w:trHeight w:val="7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Default="00E209D1" w:rsidP="00960CCF">
            <w:pPr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高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观</w:t>
            </w:r>
            <w:r>
              <w:rPr>
                <w:bCs/>
                <w:iCs/>
                <w:color w:val="000000"/>
                <w:sz w:val="24"/>
              </w:rPr>
              <w:t>投资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有</w:t>
            </w:r>
            <w:r>
              <w:rPr>
                <w:bCs/>
                <w:iCs/>
                <w:color w:val="000000"/>
                <w:sz w:val="24"/>
              </w:rPr>
              <w:t>限公司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冯良怡</w:t>
            </w:r>
          </w:p>
          <w:p w:rsidR="005C4270" w:rsidRPr="005C4270" w:rsidRDefault="00E209D1" w:rsidP="00F377E0">
            <w:pPr>
              <w:rPr>
                <w:rFonts w:hint="eastAsia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高观</w:t>
            </w:r>
            <w:r>
              <w:rPr>
                <w:bCs/>
                <w:iCs/>
                <w:color w:val="000000"/>
                <w:sz w:val="24"/>
              </w:rPr>
              <w:t>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有</w:t>
            </w:r>
            <w:r>
              <w:rPr>
                <w:bCs/>
                <w:iCs/>
                <w:color w:val="000000"/>
                <w:sz w:val="24"/>
              </w:rPr>
              <w:t>限公司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F377E0">
              <w:rPr>
                <w:rFonts w:hint="eastAsia"/>
                <w:bCs/>
                <w:iCs/>
                <w:color w:val="000000"/>
                <w:sz w:val="24"/>
              </w:rPr>
              <w:t>梁</w:t>
            </w:r>
            <w:r w:rsidR="00F377E0">
              <w:rPr>
                <w:bCs/>
                <w:iCs/>
                <w:color w:val="000000"/>
                <w:sz w:val="24"/>
              </w:rPr>
              <w:t>鸿标</w:t>
            </w:r>
            <w:bookmarkStart w:id="0" w:name="_GoBack"/>
            <w:bookmarkEnd w:id="0"/>
          </w:p>
        </w:tc>
      </w:tr>
      <w:tr w:rsidR="006C3E32" w:rsidRPr="00282A8E" w:rsidTr="00960CCF">
        <w:trPr>
          <w:trHeight w:val="5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D624F6" w:rsidRDefault="006C3E32" w:rsidP="00E209D1">
            <w:pPr>
              <w:rPr>
                <w:bCs/>
                <w:iCs/>
                <w:color w:val="000000"/>
                <w:sz w:val="24"/>
              </w:rPr>
            </w:pPr>
            <w:r w:rsidRPr="00D624F6"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bCs/>
                <w:iCs/>
                <w:color w:val="000000"/>
                <w:sz w:val="24"/>
              </w:rPr>
              <w:t>9</w:t>
            </w:r>
            <w:r w:rsidRPr="00D624F6">
              <w:rPr>
                <w:bCs/>
                <w:iCs/>
                <w:color w:val="000000"/>
                <w:sz w:val="24"/>
              </w:rPr>
              <w:t>年</w:t>
            </w:r>
            <w:r w:rsidR="00E209D1">
              <w:rPr>
                <w:bCs/>
                <w:iCs/>
                <w:sz w:val="24"/>
              </w:rPr>
              <w:t>7</w:t>
            </w:r>
            <w:r w:rsidRPr="00C661D6">
              <w:rPr>
                <w:bCs/>
                <w:iCs/>
                <w:sz w:val="24"/>
              </w:rPr>
              <w:t>月</w:t>
            </w:r>
            <w:r w:rsidR="00E209D1">
              <w:rPr>
                <w:bCs/>
                <w:iCs/>
                <w:sz w:val="24"/>
              </w:rPr>
              <w:t>3</w:t>
            </w:r>
            <w:r w:rsidRPr="00C661D6">
              <w:rPr>
                <w:bCs/>
                <w:iCs/>
                <w:sz w:val="24"/>
              </w:rPr>
              <w:t>日</w:t>
            </w:r>
            <w:r w:rsidR="00E209D1">
              <w:rPr>
                <w:bCs/>
                <w:iCs/>
                <w:sz w:val="24"/>
              </w:rPr>
              <w:t>14</w:t>
            </w:r>
            <w:r w:rsidR="00E209D1">
              <w:rPr>
                <w:rFonts w:hint="eastAsia"/>
                <w:bCs/>
                <w:iCs/>
                <w:sz w:val="24"/>
              </w:rPr>
              <w:t>:30</w:t>
            </w:r>
            <w:r w:rsidRPr="00C661D6">
              <w:rPr>
                <w:rFonts w:hint="eastAsia"/>
                <w:bCs/>
                <w:iCs/>
                <w:sz w:val="24"/>
              </w:rPr>
              <w:t>-</w:t>
            </w:r>
            <w:r w:rsidRPr="00C661D6">
              <w:rPr>
                <w:bCs/>
                <w:iCs/>
                <w:sz w:val="24"/>
              </w:rPr>
              <w:t>1</w:t>
            </w:r>
            <w:r w:rsidR="00E209D1">
              <w:rPr>
                <w:bCs/>
                <w:iCs/>
                <w:sz w:val="24"/>
              </w:rPr>
              <w:t>6</w:t>
            </w:r>
            <w:r w:rsidRPr="00C661D6">
              <w:rPr>
                <w:bCs/>
                <w:iCs/>
                <w:sz w:val="24"/>
              </w:rPr>
              <w:t>:</w:t>
            </w:r>
            <w:r w:rsidR="00122107">
              <w:rPr>
                <w:bCs/>
                <w:iCs/>
                <w:sz w:val="24"/>
              </w:rPr>
              <w:t>3</w:t>
            </w:r>
            <w:r w:rsidRPr="00C661D6">
              <w:rPr>
                <w:rFonts w:hint="eastAsia"/>
                <w:bCs/>
                <w:iCs/>
                <w:sz w:val="24"/>
              </w:rPr>
              <w:t>0</w:t>
            </w:r>
          </w:p>
        </w:tc>
      </w:tr>
      <w:tr w:rsidR="006C3E32" w:rsidRPr="00282A8E" w:rsidTr="00960CCF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CF0AC6" w:rsidRDefault="006C3E32" w:rsidP="00960CCF">
            <w:pPr>
              <w:rPr>
                <w:bCs/>
                <w:iCs/>
                <w:color w:val="000000"/>
                <w:sz w:val="24"/>
              </w:rPr>
            </w:pPr>
            <w:r w:rsidRPr="00CF0AC6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科技大楼</w:t>
            </w:r>
            <w:r w:rsidRPr="00CF0AC6">
              <w:rPr>
                <w:rFonts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6C3E32" w:rsidRPr="00282A8E" w:rsidTr="00960CCF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CF0AC6" w:rsidRDefault="006C3E32" w:rsidP="00960CC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刘同刚、李婷婷</w:t>
            </w:r>
          </w:p>
        </w:tc>
      </w:tr>
      <w:tr w:rsidR="006C3E32" w:rsidRPr="00CF73BA" w:rsidTr="00960CC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Default="00E82708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E82708">
              <w:rPr>
                <w:rFonts w:eastAsia="仿宋_GB2312" w:hint="eastAsia"/>
                <w:bCs/>
                <w:iCs/>
                <w:color w:val="000000"/>
                <w:sz w:val="22"/>
              </w:rPr>
              <w:t>来访者首先</w:t>
            </w:r>
            <w:r w:rsidR="00E209D1" w:rsidRPr="00E82708">
              <w:rPr>
                <w:rFonts w:eastAsia="仿宋_GB2312" w:hint="eastAsia"/>
                <w:bCs/>
                <w:iCs/>
                <w:color w:val="000000"/>
                <w:sz w:val="22"/>
              </w:rPr>
              <w:t>参观了</w:t>
            </w:r>
            <w:r w:rsidR="00E209D1">
              <w:rPr>
                <w:rFonts w:eastAsia="仿宋_GB2312" w:hint="eastAsia"/>
                <w:bCs/>
                <w:iCs/>
                <w:color w:val="000000"/>
                <w:sz w:val="22"/>
              </w:rPr>
              <w:t>林德液压</w:t>
            </w:r>
            <w:r w:rsidR="00E209D1">
              <w:rPr>
                <w:rFonts w:eastAsia="仿宋_GB2312"/>
                <w:bCs/>
                <w:iCs/>
                <w:color w:val="000000"/>
                <w:sz w:val="22"/>
              </w:rPr>
              <w:t>和二号工</w:t>
            </w:r>
            <w:r w:rsidR="00E209D1">
              <w:rPr>
                <w:rFonts w:eastAsia="仿宋_GB2312" w:hint="eastAsia"/>
                <w:bCs/>
                <w:iCs/>
                <w:color w:val="000000"/>
                <w:sz w:val="22"/>
              </w:rPr>
              <w:t>厂</w:t>
            </w:r>
            <w:r w:rsidRPr="00E82708">
              <w:rPr>
                <w:rFonts w:eastAsia="仿宋_GB2312" w:hint="eastAsia"/>
                <w:bCs/>
                <w:iCs/>
                <w:color w:val="000000"/>
                <w:sz w:val="22"/>
              </w:rPr>
              <w:t>，随后</w:t>
            </w:r>
            <w:r w:rsidR="00E209D1" w:rsidRPr="00E82708">
              <w:rPr>
                <w:rFonts w:eastAsia="仿宋_GB2312" w:hint="eastAsia"/>
                <w:bCs/>
                <w:iCs/>
                <w:color w:val="000000"/>
                <w:sz w:val="22"/>
              </w:rPr>
              <w:t>在公司会议室就关注问题与公司进行了交流</w:t>
            </w:r>
            <w:r w:rsidRPr="00E82708">
              <w:rPr>
                <w:rFonts w:eastAsia="仿宋_GB2312" w:hint="eastAsia"/>
                <w:bCs/>
                <w:iCs/>
                <w:color w:val="000000"/>
                <w:sz w:val="22"/>
              </w:rPr>
              <w:t>。交流主要内容包括：</w:t>
            </w:r>
          </w:p>
          <w:p w:rsidR="006C3E32" w:rsidRPr="00794EB9" w:rsidRDefault="006C3E32" w:rsidP="00794EB9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794EB9">
              <w:rPr>
                <w:rFonts w:hint="eastAsia"/>
                <w:b/>
                <w:bCs/>
                <w:iCs/>
                <w:color w:val="000000"/>
                <w:sz w:val="24"/>
              </w:rPr>
              <w:t>林德液压目前发展情况？</w:t>
            </w:r>
          </w:p>
          <w:p w:rsidR="006C3E32" w:rsidRPr="00317578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2018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年，林德液压（全球）销售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18.7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万件，同比增长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15.7%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；实现营业收入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23.4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亿元，同比增长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15.7%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。林德液压（中国）销售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万件，同比增长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63.9%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；实现营业收入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2.5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亿元，同比增长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78.1%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。</w:t>
            </w:r>
          </w:p>
          <w:p w:rsidR="006C3E32" w:rsidRPr="00317578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（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1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）林德液压是高压液压技术领导者，“德国品质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中国制造”的业务模式，为客户提供更具成本、核心技术和品质竞争力的产品和服务。</w:t>
            </w:r>
          </w:p>
          <w:p w:rsidR="006C3E32" w:rsidRDefault="006C3E32" w:rsidP="00960CCF">
            <w:pPr>
              <w:spacing w:line="360" w:lineRule="auto"/>
              <w:ind w:firstLine="450"/>
              <w:jc w:val="left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（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2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）打造“</w:t>
            </w:r>
            <w:proofErr w:type="gramStart"/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潍</w:t>
            </w:r>
            <w:proofErr w:type="gramEnd"/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柴发动机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317578">
              <w:rPr>
                <w:rFonts w:eastAsia="仿宋_GB2312" w:hint="eastAsia"/>
                <w:bCs/>
                <w:iCs/>
                <w:color w:val="000000"/>
                <w:sz w:val="22"/>
              </w:rPr>
              <w:t>林德液压”的液压动力系统，一体化协同开发，实现两者优势互补，共同开拓中国高端工程机械和农用机械等市场。</w:t>
            </w:r>
          </w:p>
          <w:p w:rsidR="00794EB9" w:rsidRDefault="00794EB9" w:rsidP="00960CCF">
            <w:pPr>
              <w:spacing w:line="360" w:lineRule="auto"/>
              <w:ind w:firstLine="450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794EB9">
              <w:rPr>
                <w:rFonts w:hint="eastAsia"/>
                <w:b/>
                <w:bCs/>
                <w:iCs/>
                <w:color w:val="000000"/>
                <w:sz w:val="24"/>
              </w:rPr>
              <w:t>2</w:t>
            </w:r>
            <w:r w:rsidRPr="00794EB9">
              <w:rPr>
                <w:rFonts w:hint="eastAsia"/>
                <w:b/>
                <w:bCs/>
                <w:iCs/>
                <w:color w:val="000000"/>
                <w:sz w:val="24"/>
              </w:rPr>
              <w:t>．公司如何</w:t>
            </w:r>
            <w:proofErr w:type="gramStart"/>
            <w:r w:rsidRPr="00794EB9">
              <w:rPr>
                <w:rFonts w:hint="eastAsia"/>
                <w:b/>
                <w:bCs/>
                <w:iCs/>
                <w:color w:val="000000"/>
                <w:sz w:val="24"/>
              </w:rPr>
              <w:t>看待重卡行业</w:t>
            </w:r>
            <w:proofErr w:type="gramEnd"/>
            <w:r w:rsidRPr="00794EB9">
              <w:rPr>
                <w:rFonts w:hint="eastAsia"/>
                <w:b/>
                <w:bCs/>
                <w:iCs/>
                <w:color w:val="000000"/>
                <w:sz w:val="24"/>
              </w:rPr>
              <w:t>发展趋势以及公司相关业务情况？</w:t>
            </w:r>
          </w:p>
          <w:p w:rsidR="00794EB9" w:rsidRPr="00794EB9" w:rsidRDefault="00794EB9" w:rsidP="00794EB9">
            <w:pPr>
              <w:spacing w:line="360" w:lineRule="auto"/>
              <w:ind w:firstLine="450"/>
              <w:jc w:val="left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lastRenderedPageBreak/>
              <w:t>（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1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）行业发展：近年来，国家鼓励并出台相关政策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加速国三重卡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淘汰和国六标准升级，推动行业加速更新换代；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重卡用途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越来越多元化，广泛应用于各行各业，物流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类重卡占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行业总销量比重提升并成为主流，有效降低行业销量的波动；同时，随着“一带一路”的逐步深入，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重卡出口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逐步提速。因此，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重卡行业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销量或将继续维持高景气度运行。</w:t>
            </w:r>
          </w:p>
          <w:p w:rsidR="00794EB9" w:rsidRPr="00C04865" w:rsidRDefault="00794EB9" w:rsidP="00794EB9">
            <w:pPr>
              <w:spacing w:line="360" w:lineRule="auto"/>
              <w:ind w:firstLine="450"/>
              <w:jc w:val="left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（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2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）公司情况：一直以来，公司坚定不移加大研发投入，致力于为客户提供最具成本、核心技术和品质三个核心竞争力的产品，目前国六排放标准产品准备充分且具有领先优势，有助于公司提升市场份额；公司凭借“发动机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变速箱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车桥”动力总成为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陕重汽提供强大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支撑，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陕重汽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竞争力和市场份额的提高同样提升了</w:t>
            </w:r>
            <w:proofErr w:type="gramStart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公司重卡发动机</w:t>
            </w:r>
            <w:proofErr w:type="gramEnd"/>
            <w:r w:rsidRPr="00794EB9">
              <w:rPr>
                <w:rFonts w:eastAsia="仿宋_GB2312" w:hint="eastAsia"/>
                <w:bCs/>
                <w:iCs/>
                <w:color w:val="000000"/>
                <w:sz w:val="22"/>
              </w:rPr>
              <w:t>市场份额。</w:t>
            </w:r>
          </w:p>
          <w:p w:rsidR="006C3E32" w:rsidRDefault="006C3E32" w:rsidP="006C3E3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proofErr w:type="gramStart"/>
            <w:r w:rsidRPr="007A400C">
              <w:rPr>
                <w:rFonts w:hint="eastAsia"/>
                <w:b/>
                <w:bCs/>
                <w:iCs/>
                <w:color w:val="000000"/>
                <w:sz w:val="24"/>
              </w:rPr>
              <w:t>陕重汽目前</w:t>
            </w:r>
            <w:proofErr w:type="gramEnd"/>
            <w:r w:rsidRPr="007A400C">
              <w:rPr>
                <w:rFonts w:hint="eastAsia"/>
                <w:b/>
                <w:bCs/>
                <w:iCs/>
                <w:color w:val="000000"/>
                <w:sz w:val="24"/>
              </w:rPr>
              <w:t>经营情况及发展战略？</w:t>
            </w:r>
          </w:p>
          <w:p w:rsidR="006C3E32" w:rsidRPr="007A400C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近年来，公司着力打造的“发动机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变速箱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+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车桥”动力总成为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陕重汽重卡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整车提供强大支撑，产品在日用品、煤运牵引车和渣土、重载、矿用自卸车等细分市场具备较大优势。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2018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年，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陕重汽销售重卡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15.3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万辆，同比增长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3%</w:t>
            </w:r>
            <w:r>
              <w:rPr>
                <w:rFonts w:eastAsia="仿宋_GB2312" w:hint="eastAsia"/>
                <w:bCs/>
                <w:iCs/>
                <w:color w:val="000000"/>
                <w:sz w:val="22"/>
              </w:rPr>
              <w:t>，市场份额达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13.3%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，稳居行业第一梯队；经营业绩大幅改善，净利润达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11.9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亿元，同比增长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78%</w:t>
            </w: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。</w:t>
            </w:r>
          </w:p>
          <w:p w:rsidR="006C3E32" w:rsidRPr="00EA4942" w:rsidRDefault="006C3E32" w:rsidP="00960CCF">
            <w:pPr>
              <w:spacing w:line="360" w:lineRule="auto"/>
              <w:ind w:firstLineChars="200" w:firstLine="440"/>
              <w:rPr>
                <w:rFonts w:eastAsia="仿宋_GB2312"/>
                <w:bCs/>
                <w:iCs/>
                <w:color w:val="000000"/>
                <w:sz w:val="22"/>
              </w:rPr>
            </w:pPr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未来，公司将继续坚持整体龙头带动作用，积极推动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陕重汽重卡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产品竞争力提升和市场开拓。目前，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正全面布局并稳步推进节能技术、替代燃料技术、新能源技术、智能网联技术等新技术，引领行业升级。同时，</w:t>
            </w:r>
            <w:proofErr w:type="gramStart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陕重汽</w:t>
            </w:r>
            <w:proofErr w:type="gramEnd"/>
            <w:r w:rsidRPr="007A400C">
              <w:rPr>
                <w:rFonts w:eastAsia="仿宋_GB2312" w:hint="eastAsia"/>
                <w:bCs/>
                <w:iCs/>
                <w:color w:val="000000"/>
                <w:sz w:val="22"/>
              </w:rPr>
              <w:t>正加速海外市场开拓，加大海外市场贡献。</w:t>
            </w:r>
          </w:p>
        </w:tc>
      </w:tr>
      <w:tr w:rsidR="006C3E32" w:rsidRPr="00282A8E" w:rsidTr="00960CC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EA4942" w:rsidRDefault="006C3E32" w:rsidP="00960CCF">
            <w:pPr>
              <w:rPr>
                <w:bCs/>
                <w:iCs/>
                <w:color w:val="000000"/>
                <w:sz w:val="24"/>
              </w:rPr>
            </w:pPr>
          </w:p>
        </w:tc>
      </w:tr>
      <w:tr w:rsidR="006C3E32" w:rsidRPr="00282A8E" w:rsidTr="00960CC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282A8E" w:rsidRDefault="006C3E32" w:rsidP="00960CC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82A8E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32" w:rsidRPr="00EA4942" w:rsidRDefault="006C3E32" w:rsidP="00F74E79">
            <w:pPr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2019</w:t>
            </w:r>
            <w:r w:rsidRPr="00C661D6">
              <w:rPr>
                <w:bCs/>
                <w:iCs/>
                <w:sz w:val="24"/>
              </w:rPr>
              <w:t>年</w:t>
            </w:r>
            <w:r w:rsidR="00F74E79">
              <w:rPr>
                <w:bCs/>
                <w:iCs/>
                <w:sz w:val="24"/>
              </w:rPr>
              <w:t>7</w:t>
            </w:r>
            <w:r w:rsidRPr="00C661D6">
              <w:rPr>
                <w:bCs/>
                <w:iCs/>
                <w:sz w:val="24"/>
              </w:rPr>
              <w:t>月</w:t>
            </w:r>
            <w:r w:rsidR="00F74E79">
              <w:rPr>
                <w:bCs/>
                <w:iCs/>
                <w:sz w:val="24"/>
              </w:rPr>
              <w:t>3</w:t>
            </w:r>
            <w:r w:rsidRPr="00C661D6">
              <w:rPr>
                <w:bCs/>
                <w:iCs/>
                <w:sz w:val="24"/>
              </w:rPr>
              <w:t>日</w:t>
            </w:r>
          </w:p>
        </w:tc>
      </w:tr>
    </w:tbl>
    <w:p w:rsidR="006C3E32" w:rsidRDefault="006C3E32" w:rsidP="006C3E32"/>
    <w:p w:rsidR="006D2C8B" w:rsidRDefault="00332636"/>
    <w:sectPr w:rsidR="006D2C8B" w:rsidSect="002011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36" w:rsidRDefault="00332636" w:rsidP="006C3E32">
      <w:r>
        <w:separator/>
      </w:r>
    </w:p>
  </w:endnote>
  <w:endnote w:type="continuationSeparator" w:id="0">
    <w:p w:rsidR="00332636" w:rsidRDefault="00332636" w:rsidP="006C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FF" w:rsidRDefault="001D2FA7" w:rsidP="005830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77E0" w:rsidRPr="00F377E0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36" w:rsidRDefault="00332636" w:rsidP="006C3E32">
      <w:r>
        <w:separator/>
      </w:r>
    </w:p>
  </w:footnote>
  <w:footnote w:type="continuationSeparator" w:id="0">
    <w:p w:rsidR="00332636" w:rsidRDefault="00332636" w:rsidP="006C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223"/>
    <w:multiLevelType w:val="hybridMultilevel"/>
    <w:tmpl w:val="E12C080C"/>
    <w:lvl w:ilvl="0" w:tplc="C9CC2D86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65A40F2"/>
    <w:multiLevelType w:val="hybridMultilevel"/>
    <w:tmpl w:val="A6B60DD8"/>
    <w:lvl w:ilvl="0" w:tplc="7968F318">
      <w:start w:val="1"/>
      <w:numFmt w:val="decimal"/>
      <w:lvlText w:val="%1．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4E80382F"/>
    <w:multiLevelType w:val="hybridMultilevel"/>
    <w:tmpl w:val="B80AE704"/>
    <w:lvl w:ilvl="0" w:tplc="B462A0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F5930"/>
    <w:multiLevelType w:val="hybridMultilevel"/>
    <w:tmpl w:val="CCC6628C"/>
    <w:lvl w:ilvl="0" w:tplc="42A4DDAC">
      <w:start w:val="1"/>
      <w:numFmt w:val="decimal"/>
      <w:lvlText w:val="%1．"/>
      <w:lvlJc w:val="left"/>
      <w:pPr>
        <w:ind w:left="857" w:hanging="375"/>
      </w:pPr>
      <w:rPr>
        <w:rFonts w:eastAsia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53C72BC"/>
    <w:multiLevelType w:val="hybridMultilevel"/>
    <w:tmpl w:val="69D8DCB0"/>
    <w:lvl w:ilvl="0" w:tplc="C9682B9C">
      <w:start w:val="3"/>
      <w:numFmt w:val="decimal"/>
      <w:lvlText w:val="%1．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740D68BB"/>
    <w:multiLevelType w:val="hybridMultilevel"/>
    <w:tmpl w:val="24DEC070"/>
    <w:lvl w:ilvl="0" w:tplc="E58813E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9957E8"/>
    <w:multiLevelType w:val="hybridMultilevel"/>
    <w:tmpl w:val="30D01254"/>
    <w:lvl w:ilvl="0" w:tplc="C32C0D9A">
      <w:start w:val="2"/>
      <w:numFmt w:val="decimal"/>
      <w:lvlText w:val="%1．"/>
      <w:lvlJc w:val="left"/>
      <w:pPr>
        <w:ind w:left="857" w:hanging="375"/>
      </w:pPr>
      <w:rPr>
        <w:rFonts w:eastAsia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755342F4"/>
    <w:multiLevelType w:val="hybridMultilevel"/>
    <w:tmpl w:val="96F47D3A"/>
    <w:lvl w:ilvl="0" w:tplc="14A670BE">
      <w:start w:val="1"/>
      <w:numFmt w:val="decimal"/>
      <w:lvlText w:val="%1．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C1"/>
    <w:rsid w:val="000849EF"/>
    <w:rsid w:val="00122107"/>
    <w:rsid w:val="001D2FA7"/>
    <w:rsid w:val="0023445E"/>
    <w:rsid w:val="002A64C1"/>
    <w:rsid w:val="00332636"/>
    <w:rsid w:val="00342133"/>
    <w:rsid w:val="003C3DB3"/>
    <w:rsid w:val="004A7F12"/>
    <w:rsid w:val="005C4270"/>
    <w:rsid w:val="006C3E32"/>
    <w:rsid w:val="006F6F34"/>
    <w:rsid w:val="00794EB9"/>
    <w:rsid w:val="00925CC5"/>
    <w:rsid w:val="00CC6C85"/>
    <w:rsid w:val="00DA60F7"/>
    <w:rsid w:val="00DF1F93"/>
    <w:rsid w:val="00E209D1"/>
    <w:rsid w:val="00E82708"/>
    <w:rsid w:val="00F377E0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2BDD2-5FE5-4236-B21C-51CDDA7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E32"/>
    <w:rPr>
      <w:sz w:val="18"/>
      <w:szCs w:val="18"/>
    </w:rPr>
  </w:style>
  <w:style w:type="paragraph" w:styleId="a5">
    <w:name w:val="List Paragraph"/>
    <w:basedOn w:val="a"/>
    <w:uiPriority w:val="34"/>
    <w:qFormat/>
    <w:rsid w:val="00CC6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李婷婷01</dc:creator>
  <cp:keywords/>
  <dc:description/>
  <cp:lastModifiedBy>gyb1</cp:lastModifiedBy>
  <cp:revision>12</cp:revision>
  <dcterms:created xsi:type="dcterms:W3CDTF">2019-06-17T10:40:00Z</dcterms:created>
  <dcterms:modified xsi:type="dcterms:W3CDTF">2019-07-04T03:07:00Z</dcterms:modified>
</cp:coreProperties>
</file>