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8F" w:rsidRDefault="009F0295">
      <w:pPr>
        <w:ind w:right="560"/>
        <w:rPr>
          <w:rFonts w:ascii="Verdana" w:hAnsi="Verdana"/>
          <w:bCs/>
          <w:sz w:val="24"/>
        </w:rPr>
      </w:pPr>
      <w:r>
        <w:rPr>
          <w:rFonts w:ascii="Verdana" w:hAnsi="Verdana" w:hint="eastAsia"/>
          <w:bCs/>
          <w:sz w:val="24"/>
        </w:rPr>
        <w:t>证券代码：</w:t>
      </w:r>
      <w:r>
        <w:rPr>
          <w:rFonts w:ascii="Verdana" w:hAnsi="Verdana" w:hint="eastAsia"/>
          <w:bCs/>
          <w:sz w:val="24"/>
        </w:rPr>
        <w:t xml:space="preserve">300276                          </w:t>
      </w:r>
      <w:r>
        <w:rPr>
          <w:rFonts w:ascii="Verdana" w:hAnsi="Verdana" w:hint="eastAsia"/>
          <w:bCs/>
          <w:sz w:val="24"/>
        </w:rPr>
        <w:t>证券简称：三丰智能</w:t>
      </w:r>
      <w:r>
        <w:rPr>
          <w:rFonts w:ascii="Verdana" w:hAnsi="Verdana" w:hint="eastAsia"/>
          <w:bCs/>
          <w:sz w:val="24"/>
        </w:rPr>
        <w:t xml:space="preserve">    </w:t>
      </w:r>
    </w:p>
    <w:p w:rsidR="007B0A8F" w:rsidRDefault="007B0A8F">
      <w:pPr>
        <w:ind w:right="560"/>
        <w:rPr>
          <w:rFonts w:ascii="Verdana" w:hAnsi="Verdana"/>
          <w:bCs/>
          <w:sz w:val="24"/>
        </w:rPr>
      </w:pPr>
    </w:p>
    <w:p w:rsidR="007B0A8F" w:rsidRDefault="009F0295">
      <w:pPr>
        <w:jc w:val="center"/>
        <w:rPr>
          <w:rFonts w:ascii="Verdana" w:hAnsi="Verdana"/>
          <w:b/>
          <w:bCs/>
          <w:sz w:val="30"/>
          <w:szCs w:val="30"/>
        </w:rPr>
      </w:pPr>
      <w:r>
        <w:rPr>
          <w:rFonts w:ascii="Verdana" w:hAnsi="Verdana" w:hint="eastAsia"/>
          <w:b/>
          <w:bCs/>
          <w:sz w:val="30"/>
          <w:szCs w:val="30"/>
        </w:rPr>
        <w:t>湖北三丰智能输送装备股份有限公司</w:t>
      </w:r>
    </w:p>
    <w:p w:rsidR="007B0A8F" w:rsidRDefault="009F0295">
      <w:pPr>
        <w:jc w:val="center"/>
        <w:rPr>
          <w:rFonts w:ascii="Verdana" w:hAnsi="Verdana"/>
          <w:b/>
          <w:bCs/>
          <w:sz w:val="30"/>
          <w:szCs w:val="30"/>
        </w:rPr>
      </w:pPr>
      <w:r>
        <w:rPr>
          <w:rFonts w:ascii="Verdana" w:hAnsi="Verdana" w:hint="eastAsia"/>
          <w:b/>
          <w:bCs/>
          <w:sz w:val="30"/>
          <w:szCs w:val="30"/>
        </w:rPr>
        <w:t>投资者关系活动记录表</w:t>
      </w:r>
    </w:p>
    <w:p w:rsidR="007B0A8F" w:rsidRDefault="009F0295">
      <w:pPr>
        <w:ind w:right="480"/>
        <w:jc w:val="right"/>
        <w:rPr>
          <w:rFonts w:ascii="Verdana" w:hAnsi="Verdana"/>
          <w:bCs/>
          <w:sz w:val="24"/>
        </w:rPr>
      </w:pPr>
      <w:r>
        <w:rPr>
          <w:rFonts w:ascii="Verdana" w:hAnsi="Verdana" w:hint="eastAsia"/>
          <w:bCs/>
          <w:sz w:val="24"/>
        </w:rPr>
        <w:t>编号：</w:t>
      </w:r>
      <w:r w:rsidR="00A6137E">
        <w:rPr>
          <w:rFonts w:ascii="Verdana" w:hAnsi="Verdana" w:hint="eastAsia"/>
          <w:bCs/>
          <w:sz w:val="24"/>
        </w:rPr>
        <w:t>2019-002</w:t>
      </w:r>
    </w:p>
    <w:tbl>
      <w:tblPr>
        <w:tblW w:w="937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7275"/>
      </w:tblGrid>
      <w:tr w:rsidR="007B0A8F">
        <w:trPr>
          <w:trHeight w:val="2771"/>
        </w:trPr>
        <w:tc>
          <w:tcPr>
            <w:tcW w:w="2100" w:type="dxa"/>
          </w:tcPr>
          <w:p w:rsidR="007B0A8F" w:rsidRDefault="007B0A8F">
            <w:pPr>
              <w:rPr>
                <w:rFonts w:ascii="Verdana" w:hAnsi="Verdana"/>
                <w:bCs/>
                <w:color w:val="000000"/>
                <w:sz w:val="24"/>
              </w:rPr>
            </w:pPr>
          </w:p>
          <w:p w:rsidR="007B0A8F" w:rsidRDefault="009F0295">
            <w:pPr>
              <w:rPr>
                <w:rFonts w:ascii="Verdana" w:hAnsi="Verdana"/>
                <w:bCs/>
                <w:color w:val="000000"/>
                <w:sz w:val="24"/>
              </w:rPr>
            </w:pPr>
            <w:r>
              <w:rPr>
                <w:rFonts w:ascii="Verdana" w:hAnsi="Verdana" w:hint="eastAsia"/>
                <w:bCs/>
                <w:color w:val="000000"/>
                <w:sz w:val="24"/>
              </w:rPr>
              <w:t>投资者关系活动</w:t>
            </w:r>
          </w:p>
          <w:p w:rsidR="007B0A8F" w:rsidRDefault="007B0A8F">
            <w:pPr>
              <w:rPr>
                <w:rFonts w:ascii="Verdana" w:hAnsi="Verdana"/>
                <w:bCs/>
                <w:color w:val="000000"/>
                <w:sz w:val="24"/>
              </w:rPr>
            </w:pPr>
          </w:p>
          <w:p w:rsidR="007B0A8F" w:rsidRDefault="009F0295">
            <w:pPr>
              <w:rPr>
                <w:rFonts w:ascii="Verdana" w:hAnsi="Verdana"/>
                <w:bCs/>
                <w:color w:val="000000"/>
                <w:sz w:val="24"/>
              </w:rPr>
            </w:pPr>
            <w:r>
              <w:rPr>
                <w:rFonts w:ascii="Verdana" w:hAnsi="Verdana" w:hint="eastAsia"/>
                <w:bCs/>
                <w:color w:val="000000"/>
                <w:sz w:val="24"/>
              </w:rPr>
              <w:t>类别</w:t>
            </w:r>
          </w:p>
        </w:tc>
        <w:tc>
          <w:tcPr>
            <w:tcW w:w="7275" w:type="dxa"/>
          </w:tcPr>
          <w:p w:rsidR="007B0A8F" w:rsidRDefault="007B0A8F">
            <w:pPr>
              <w:ind w:firstLineChars="145" w:firstLine="348"/>
              <w:rPr>
                <w:rFonts w:ascii="宋体" w:hAnsi="宋体"/>
                <w:bCs/>
                <w:sz w:val="24"/>
              </w:rPr>
            </w:pPr>
          </w:p>
          <w:p w:rsidR="007B0A8F" w:rsidRDefault="009F0295">
            <w:pPr>
              <w:ind w:firstLineChars="145" w:firstLine="348"/>
              <w:rPr>
                <w:rFonts w:ascii="Verdana" w:hAnsi="Verdana"/>
                <w:bCs/>
                <w:sz w:val="24"/>
              </w:rPr>
            </w:pPr>
            <w:r>
              <w:rPr>
                <w:rFonts w:ascii="宋体" w:hAnsi="宋体" w:hint="eastAsia"/>
                <w:bCs/>
                <w:sz w:val="24"/>
              </w:rPr>
              <w:t>■</w:t>
            </w:r>
            <w:r>
              <w:rPr>
                <w:rFonts w:ascii="Verdana" w:hAnsi="Verdana" w:hint="eastAsia"/>
                <w:bCs/>
                <w:sz w:val="24"/>
              </w:rPr>
              <w:t>特定对象调研</w:t>
            </w:r>
            <w:r>
              <w:rPr>
                <w:rFonts w:ascii="Verdana" w:hAnsi="Verdana" w:hint="eastAsia"/>
                <w:bCs/>
                <w:sz w:val="24"/>
              </w:rPr>
              <w:t xml:space="preserve">                   </w:t>
            </w:r>
            <w:r>
              <w:rPr>
                <w:rFonts w:ascii="宋体" w:hAnsi="宋体" w:hint="eastAsia"/>
                <w:bCs/>
                <w:sz w:val="24"/>
              </w:rPr>
              <w:t>□</w:t>
            </w:r>
            <w:r>
              <w:rPr>
                <w:rFonts w:ascii="Verdana" w:hAnsi="Verdana" w:hint="eastAsia"/>
                <w:bCs/>
                <w:sz w:val="24"/>
              </w:rPr>
              <w:t>分析师会议</w:t>
            </w:r>
          </w:p>
          <w:p w:rsidR="007B0A8F" w:rsidRDefault="007B0A8F">
            <w:pPr>
              <w:ind w:firstLineChars="150" w:firstLine="360"/>
              <w:rPr>
                <w:rFonts w:ascii="Verdana" w:hAnsi="Verdana"/>
                <w:bCs/>
                <w:sz w:val="24"/>
              </w:rPr>
            </w:pPr>
          </w:p>
          <w:p w:rsidR="007B0A8F" w:rsidRDefault="009F0295">
            <w:pPr>
              <w:ind w:firstLineChars="150" w:firstLine="360"/>
              <w:rPr>
                <w:rFonts w:ascii="宋体" w:hAnsi="宋体"/>
                <w:bCs/>
                <w:sz w:val="24"/>
              </w:rPr>
            </w:pPr>
            <w:r>
              <w:rPr>
                <w:rFonts w:ascii="宋体" w:hAnsi="宋体" w:hint="eastAsia"/>
                <w:bCs/>
                <w:sz w:val="24"/>
              </w:rPr>
              <w:t>□媒体采访                       □业绩说明会</w:t>
            </w:r>
          </w:p>
          <w:p w:rsidR="007B0A8F" w:rsidRDefault="007B0A8F">
            <w:pPr>
              <w:ind w:firstLineChars="150" w:firstLine="360"/>
              <w:rPr>
                <w:rFonts w:ascii="宋体" w:hAnsi="宋体"/>
                <w:bCs/>
                <w:sz w:val="24"/>
              </w:rPr>
            </w:pPr>
          </w:p>
          <w:p w:rsidR="007B0A8F" w:rsidRDefault="009F0295">
            <w:pPr>
              <w:ind w:firstLineChars="150" w:firstLine="360"/>
              <w:rPr>
                <w:rFonts w:ascii="宋体" w:hAnsi="宋体"/>
                <w:bCs/>
                <w:sz w:val="24"/>
              </w:rPr>
            </w:pPr>
            <w:r>
              <w:rPr>
                <w:rFonts w:ascii="宋体" w:hAnsi="宋体" w:hint="eastAsia"/>
                <w:bCs/>
                <w:sz w:val="24"/>
              </w:rPr>
              <w:t>□新闻发布会                     □路演活动</w:t>
            </w:r>
          </w:p>
          <w:p w:rsidR="007B0A8F" w:rsidRDefault="007B0A8F">
            <w:pPr>
              <w:ind w:firstLineChars="150" w:firstLine="360"/>
              <w:rPr>
                <w:rFonts w:ascii="宋体" w:hAnsi="宋体"/>
                <w:bCs/>
                <w:sz w:val="24"/>
              </w:rPr>
            </w:pPr>
          </w:p>
          <w:p w:rsidR="007B0A8F" w:rsidRDefault="009F0295">
            <w:pPr>
              <w:ind w:firstLineChars="150" w:firstLine="360"/>
              <w:rPr>
                <w:rFonts w:ascii="宋体" w:hAnsi="宋体"/>
                <w:bCs/>
                <w:sz w:val="24"/>
              </w:rPr>
            </w:pPr>
            <w:r>
              <w:rPr>
                <w:rFonts w:ascii="宋体" w:hAnsi="宋体" w:hint="eastAsia"/>
                <w:bCs/>
                <w:sz w:val="24"/>
              </w:rPr>
              <w:t>□现场参观</w:t>
            </w:r>
          </w:p>
          <w:p w:rsidR="007B0A8F" w:rsidRDefault="007B0A8F">
            <w:pPr>
              <w:ind w:firstLineChars="150" w:firstLine="360"/>
              <w:rPr>
                <w:rFonts w:ascii="宋体" w:hAnsi="宋体"/>
                <w:bCs/>
                <w:sz w:val="24"/>
              </w:rPr>
            </w:pPr>
          </w:p>
          <w:p w:rsidR="007B0A8F" w:rsidRDefault="009F0295">
            <w:pPr>
              <w:ind w:firstLineChars="150" w:firstLine="360"/>
              <w:rPr>
                <w:rFonts w:ascii="宋体" w:hAnsi="宋体"/>
                <w:bCs/>
                <w:sz w:val="24"/>
              </w:rPr>
            </w:pPr>
            <w:r>
              <w:rPr>
                <w:rFonts w:ascii="宋体" w:hAnsi="宋体" w:hint="eastAsia"/>
                <w:bCs/>
                <w:sz w:val="24"/>
              </w:rPr>
              <w:t>□其他</w:t>
            </w:r>
          </w:p>
          <w:p w:rsidR="007B0A8F" w:rsidRDefault="007B0A8F">
            <w:pPr>
              <w:ind w:firstLineChars="150" w:firstLine="360"/>
              <w:rPr>
                <w:rFonts w:ascii="Verdana" w:hAnsi="Verdana"/>
                <w:bCs/>
                <w:sz w:val="24"/>
              </w:rPr>
            </w:pPr>
          </w:p>
        </w:tc>
      </w:tr>
      <w:tr w:rsidR="007B0A8F">
        <w:trPr>
          <w:trHeight w:val="915"/>
        </w:trPr>
        <w:tc>
          <w:tcPr>
            <w:tcW w:w="2100" w:type="dxa"/>
            <w:vAlign w:val="center"/>
          </w:tcPr>
          <w:p w:rsidR="007B0A8F" w:rsidRDefault="007B0A8F">
            <w:pPr>
              <w:rPr>
                <w:rFonts w:ascii="Verdana" w:hAnsi="Verdana"/>
                <w:bCs/>
                <w:sz w:val="24"/>
              </w:rPr>
            </w:pPr>
          </w:p>
          <w:p w:rsidR="007B0A8F" w:rsidRDefault="009F0295">
            <w:pPr>
              <w:rPr>
                <w:rFonts w:ascii="Verdana" w:hAnsi="Verdana"/>
                <w:bCs/>
                <w:sz w:val="24"/>
              </w:rPr>
            </w:pPr>
            <w:r>
              <w:rPr>
                <w:rFonts w:ascii="Verdana" w:hAnsi="Verdana" w:hint="eastAsia"/>
                <w:bCs/>
                <w:sz w:val="24"/>
              </w:rPr>
              <w:t>参与单位名称及人员姓名</w:t>
            </w:r>
          </w:p>
        </w:tc>
        <w:tc>
          <w:tcPr>
            <w:tcW w:w="7275" w:type="dxa"/>
          </w:tcPr>
          <w:p w:rsidR="007B0A8F" w:rsidRDefault="005F0FB6">
            <w:pPr>
              <w:rPr>
                <w:rFonts w:asciiTheme="minorEastAsia" w:eastAsiaTheme="minorEastAsia" w:hAnsiTheme="minorEastAsia"/>
                <w:b/>
                <w:bCs/>
                <w:szCs w:val="21"/>
              </w:rPr>
            </w:pPr>
            <w:r>
              <w:rPr>
                <w:rFonts w:asciiTheme="minorEastAsia" w:eastAsiaTheme="minorEastAsia" w:hAnsiTheme="minorEastAsia" w:hint="eastAsia"/>
                <w:b/>
                <w:bCs/>
                <w:szCs w:val="21"/>
              </w:rPr>
              <w:t>广发证券发展研究中心机械分析师孙柏阳</w:t>
            </w:r>
          </w:p>
          <w:p w:rsidR="007B0A8F" w:rsidRDefault="005F0FB6">
            <w:pPr>
              <w:rPr>
                <w:rFonts w:asciiTheme="minorEastAsia" w:eastAsiaTheme="minorEastAsia" w:hAnsiTheme="minorEastAsia"/>
                <w:b/>
                <w:bCs/>
                <w:szCs w:val="21"/>
              </w:rPr>
            </w:pPr>
            <w:r>
              <w:rPr>
                <w:rFonts w:asciiTheme="minorEastAsia" w:eastAsiaTheme="minorEastAsia" w:hAnsiTheme="minorEastAsia" w:hint="eastAsia"/>
                <w:b/>
                <w:bCs/>
                <w:szCs w:val="21"/>
              </w:rPr>
              <w:t>招商证券研究发展中心机械行业</w:t>
            </w:r>
            <w:r w:rsidR="009F0295">
              <w:rPr>
                <w:rFonts w:asciiTheme="minorEastAsia" w:eastAsiaTheme="minorEastAsia" w:hAnsiTheme="minorEastAsia" w:hint="eastAsia"/>
                <w:b/>
                <w:bCs/>
                <w:szCs w:val="21"/>
              </w:rPr>
              <w:t>分析师</w:t>
            </w:r>
            <w:r>
              <w:rPr>
                <w:rFonts w:asciiTheme="minorEastAsia" w:eastAsiaTheme="minorEastAsia" w:hAnsiTheme="minorEastAsia" w:hint="eastAsia"/>
                <w:b/>
                <w:bCs/>
                <w:szCs w:val="21"/>
              </w:rPr>
              <w:t>时文博</w:t>
            </w:r>
          </w:p>
          <w:p w:rsidR="007B0A8F" w:rsidRDefault="005F0FB6">
            <w:pPr>
              <w:rPr>
                <w:rFonts w:asciiTheme="minorEastAsia" w:eastAsiaTheme="minorEastAsia" w:hAnsiTheme="minorEastAsia"/>
                <w:b/>
                <w:bCs/>
                <w:szCs w:val="21"/>
              </w:rPr>
            </w:pPr>
            <w:r>
              <w:rPr>
                <w:rFonts w:asciiTheme="minorEastAsia" w:eastAsiaTheme="minorEastAsia" w:hAnsiTheme="minorEastAsia" w:hint="eastAsia"/>
                <w:b/>
                <w:bCs/>
                <w:szCs w:val="21"/>
              </w:rPr>
              <w:t>国金证券新兴产业中心机械行业分析师韦俊龙</w:t>
            </w:r>
          </w:p>
          <w:p w:rsidR="007B0A8F" w:rsidRDefault="005F0FB6">
            <w:pPr>
              <w:rPr>
                <w:rFonts w:asciiTheme="minorEastAsia" w:eastAsiaTheme="minorEastAsia" w:hAnsiTheme="minorEastAsia"/>
                <w:b/>
                <w:bCs/>
                <w:szCs w:val="21"/>
              </w:rPr>
            </w:pPr>
            <w:r>
              <w:rPr>
                <w:rFonts w:asciiTheme="minorEastAsia" w:eastAsiaTheme="minorEastAsia" w:hAnsiTheme="minorEastAsia" w:hint="eastAsia"/>
                <w:b/>
                <w:bCs/>
                <w:szCs w:val="21"/>
              </w:rPr>
              <w:t>中信建投证券 叶天明</w:t>
            </w:r>
          </w:p>
        </w:tc>
      </w:tr>
      <w:tr w:rsidR="007B0A8F">
        <w:trPr>
          <w:trHeight w:val="389"/>
        </w:trPr>
        <w:tc>
          <w:tcPr>
            <w:tcW w:w="2100" w:type="dxa"/>
          </w:tcPr>
          <w:p w:rsidR="007B0A8F" w:rsidRDefault="009F0295">
            <w:pPr>
              <w:rPr>
                <w:rFonts w:ascii="Verdana" w:hAnsi="Verdana"/>
                <w:bCs/>
                <w:sz w:val="24"/>
              </w:rPr>
            </w:pPr>
            <w:r>
              <w:rPr>
                <w:rFonts w:ascii="Verdana" w:hAnsi="Verdana" w:hint="eastAsia"/>
                <w:bCs/>
                <w:sz w:val="24"/>
              </w:rPr>
              <w:t>时间</w:t>
            </w:r>
          </w:p>
        </w:tc>
        <w:tc>
          <w:tcPr>
            <w:tcW w:w="7275" w:type="dxa"/>
            <w:vAlign w:val="center"/>
          </w:tcPr>
          <w:p w:rsidR="007B0A8F" w:rsidRDefault="009F0295" w:rsidP="00D26F21">
            <w:pPr>
              <w:rPr>
                <w:rFonts w:asciiTheme="minorEastAsia" w:eastAsiaTheme="minorEastAsia" w:hAnsiTheme="minorEastAsia"/>
                <w:b/>
                <w:bCs/>
                <w:szCs w:val="21"/>
              </w:rPr>
            </w:pPr>
            <w:r>
              <w:rPr>
                <w:rFonts w:asciiTheme="minorEastAsia" w:eastAsiaTheme="minorEastAsia" w:hAnsiTheme="minorEastAsia" w:hint="eastAsia"/>
                <w:b/>
                <w:bCs/>
                <w:szCs w:val="21"/>
              </w:rPr>
              <w:t>2019年</w:t>
            </w:r>
            <w:r w:rsidR="00387B58">
              <w:rPr>
                <w:rFonts w:asciiTheme="minorEastAsia" w:eastAsiaTheme="minorEastAsia" w:hAnsiTheme="minorEastAsia" w:hint="eastAsia"/>
                <w:b/>
                <w:bCs/>
                <w:szCs w:val="21"/>
              </w:rPr>
              <w:t>7</w:t>
            </w:r>
            <w:r>
              <w:rPr>
                <w:rFonts w:asciiTheme="minorEastAsia" w:eastAsiaTheme="minorEastAsia" w:hAnsiTheme="minorEastAsia" w:hint="eastAsia"/>
                <w:b/>
                <w:bCs/>
                <w:szCs w:val="21"/>
              </w:rPr>
              <w:t>月</w:t>
            </w:r>
            <w:r w:rsidR="00387B58">
              <w:rPr>
                <w:rFonts w:asciiTheme="minorEastAsia" w:eastAsiaTheme="minorEastAsia" w:hAnsiTheme="minorEastAsia" w:hint="eastAsia"/>
                <w:b/>
                <w:bCs/>
                <w:szCs w:val="21"/>
              </w:rPr>
              <w:t>3</w:t>
            </w:r>
            <w:r>
              <w:rPr>
                <w:rFonts w:asciiTheme="minorEastAsia" w:eastAsiaTheme="minorEastAsia" w:hAnsiTheme="minorEastAsia" w:hint="eastAsia"/>
                <w:b/>
                <w:bCs/>
                <w:szCs w:val="21"/>
              </w:rPr>
              <w:t>日  1</w:t>
            </w:r>
            <w:r w:rsidR="00387B58">
              <w:rPr>
                <w:rFonts w:asciiTheme="minorEastAsia" w:eastAsiaTheme="minorEastAsia" w:hAnsiTheme="minorEastAsia" w:hint="eastAsia"/>
                <w:b/>
                <w:bCs/>
                <w:szCs w:val="21"/>
              </w:rPr>
              <w:t>0:</w:t>
            </w:r>
            <w:r w:rsidR="00D26F21">
              <w:rPr>
                <w:rFonts w:asciiTheme="minorEastAsia" w:eastAsiaTheme="minorEastAsia" w:hAnsiTheme="minorEastAsia" w:hint="eastAsia"/>
                <w:b/>
                <w:bCs/>
                <w:szCs w:val="21"/>
              </w:rPr>
              <w:t>00</w:t>
            </w:r>
            <w:r>
              <w:rPr>
                <w:rFonts w:asciiTheme="minorEastAsia" w:eastAsiaTheme="minorEastAsia" w:hAnsiTheme="minorEastAsia" w:hint="eastAsia"/>
                <w:b/>
                <w:bCs/>
                <w:szCs w:val="21"/>
              </w:rPr>
              <w:t>-1</w:t>
            </w:r>
            <w:r w:rsidR="00387B58">
              <w:rPr>
                <w:rFonts w:asciiTheme="minorEastAsia" w:eastAsiaTheme="minorEastAsia" w:hAnsiTheme="minorEastAsia" w:hint="eastAsia"/>
                <w:b/>
                <w:bCs/>
                <w:szCs w:val="21"/>
              </w:rPr>
              <w:t>2</w:t>
            </w:r>
            <w:r>
              <w:rPr>
                <w:rFonts w:asciiTheme="minorEastAsia" w:eastAsiaTheme="minorEastAsia" w:hAnsiTheme="minorEastAsia" w:hint="eastAsia"/>
                <w:b/>
                <w:bCs/>
                <w:szCs w:val="21"/>
              </w:rPr>
              <w:t>:</w:t>
            </w:r>
            <w:r w:rsidR="00D26F21">
              <w:rPr>
                <w:rFonts w:asciiTheme="minorEastAsia" w:eastAsiaTheme="minorEastAsia" w:hAnsiTheme="minorEastAsia" w:hint="eastAsia"/>
                <w:b/>
                <w:bCs/>
                <w:szCs w:val="21"/>
              </w:rPr>
              <w:t>08</w:t>
            </w:r>
          </w:p>
        </w:tc>
      </w:tr>
      <w:tr w:rsidR="007B0A8F">
        <w:trPr>
          <w:trHeight w:val="409"/>
        </w:trPr>
        <w:tc>
          <w:tcPr>
            <w:tcW w:w="2100" w:type="dxa"/>
          </w:tcPr>
          <w:p w:rsidR="007B0A8F" w:rsidRDefault="009F0295">
            <w:pPr>
              <w:rPr>
                <w:rFonts w:ascii="Verdana" w:hAnsi="Verdana"/>
                <w:bCs/>
                <w:sz w:val="24"/>
              </w:rPr>
            </w:pPr>
            <w:r>
              <w:rPr>
                <w:rFonts w:ascii="Verdana" w:hAnsi="Verdana" w:hint="eastAsia"/>
                <w:bCs/>
                <w:sz w:val="24"/>
              </w:rPr>
              <w:t>地点</w:t>
            </w:r>
          </w:p>
        </w:tc>
        <w:tc>
          <w:tcPr>
            <w:tcW w:w="7275" w:type="dxa"/>
            <w:vAlign w:val="center"/>
          </w:tcPr>
          <w:p w:rsidR="007B0A8F" w:rsidRDefault="009F0295">
            <w:pPr>
              <w:rPr>
                <w:rFonts w:asciiTheme="minorEastAsia" w:eastAsiaTheme="minorEastAsia" w:hAnsiTheme="minorEastAsia"/>
                <w:b/>
                <w:bCs/>
                <w:szCs w:val="21"/>
              </w:rPr>
            </w:pPr>
            <w:r>
              <w:rPr>
                <w:rFonts w:asciiTheme="minorEastAsia" w:eastAsiaTheme="minorEastAsia" w:hAnsiTheme="minorEastAsia"/>
                <w:b/>
                <w:bCs/>
                <w:szCs w:val="21"/>
              </w:rPr>
              <w:t>上海鑫燕隆汽车装备制造有限公司</w:t>
            </w:r>
          </w:p>
        </w:tc>
      </w:tr>
      <w:tr w:rsidR="007B0A8F">
        <w:trPr>
          <w:trHeight w:val="626"/>
        </w:trPr>
        <w:tc>
          <w:tcPr>
            <w:tcW w:w="2100" w:type="dxa"/>
          </w:tcPr>
          <w:p w:rsidR="007B0A8F" w:rsidRDefault="009F0295">
            <w:pPr>
              <w:rPr>
                <w:rFonts w:ascii="Verdana" w:hAnsi="Verdana"/>
                <w:bCs/>
                <w:sz w:val="24"/>
              </w:rPr>
            </w:pPr>
            <w:r>
              <w:rPr>
                <w:rFonts w:ascii="Verdana" w:hAnsi="Verdana" w:hint="eastAsia"/>
                <w:bCs/>
                <w:sz w:val="24"/>
              </w:rPr>
              <w:t>上市公司接待人员姓名</w:t>
            </w:r>
          </w:p>
        </w:tc>
        <w:tc>
          <w:tcPr>
            <w:tcW w:w="7275" w:type="dxa"/>
            <w:vAlign w:val="center"/>
          </w:tcPr>
          <w:p w:rsidR="007B0A8F" w:rsidRDefault="009F0295" w:rsidP="00387B58">
            <w:pPr>
              <w:rPr>
                <w:rFonts w:asciiTheme="minorEastAsia" w:eastAsiaTheme="minorEastAsia" w:hAnsiTheme="minorEastAsia"/>
                <w:b/>
                <w:bCs/>
                <w:szCs w:val="21"/>
              </w:rPr>
            </w:pPr>
            <w:r>
              <w:rPr>
                <w:rFonts w:asciiTheme="minorEastAsia" w:eastAsiaTheme="minorEastAsia" w:hAnsiTheme="minorEastAsia" w:hint="eastAsia"/>
                <w:b/>
                <w:bCs/>
                <w:szCs w:val="21"/>
              </w:rPr>
              <w:t>董秘张蓉女士  鑫燕隆</w:t>
            </w:r>
            <w:r w:rsidR="00387B58">
              <w:rPr>
                <w:rFonts w:asciiTheme="minorEastAsia" w:eastAsiaTheme="minorEastAsia" w:hAnsiTheme="minorEastAsia" w:hint="eastAsia"/>
                <w:b/>
                <w:bCs/>
                <w:szCs w:val="21"/>
              </w:rPr>
              <w:t>常务</w:t>
            </w:r>
            <w:r>
              <w:rPr>
                <w:rFonts w:asciiTheme="minorEastAsia" w:eastAsiaTheme="minorEastAsia" w:hAnsiTheme="minorEastAsia" w:hint="eastAsia"/>
                <w:b/>
                <w:bCs/>
                <w:szCs w:val="21"/>
              </w:rPr>
              <w:t>副总</w:t>
            </w:r>
            <w:r w:rsidR="00387B58">
              <w:rPr>
                <w:rFonts w:asciiTheme="minorEastAsia" w:eastAsiaTheme="minorEastAsia" w:hAnsiTheme="minorEastAsia" w:hint="eastAsia"/>
                <w:b/>
                <w:bCs/>
                <w:szCs w:val="21"/>
              </w:rPr>
              <w:t>谭秀阳</w:t>
            </w:r>
            <w:r>
              <w:rPr>
                <w:rFonts w:asciiTheme="minorEastAsia" w:eastAsiaTheme="minorEastAsia" w:hAnsiTheme="minorEastAsia" w:hint="eastAsia"/>
                <w:b/>
                <w:bCs/>
                <w:szCs w:val="21"/>
              </w:rPr>
              <w:t>先生</w:t>
            </w:r>
          </w:p>
        </w:tc>
      </w:tr>
      <w:tr w:rsidR="007B0A8F">
        <w:trPr>
          <w:trHeight w:val="1663"/>
        </w:trPr>
        <w:tc>
          <w:tcPr>
            <w:tcW w:w="2100" w:type="dxa"/>
          </w:tcPr>
          <w:p w:rsidR="007B0A8F" w:rsidRDefault="007B0A8F">
            <w:pPr>
              <w:rPr>
                <w:rFonts w:ascii="Verdana" w:hAnsi="Verdana"/>
                <w:bCs/>
                <w:sz w:val="24"/>
              </w:rPr>
            </w:pPr>
          </w:p>
          <w:p w:rsidR="007B0A8F" w:rsidRDefault="009F0295">
            <w:pPr>
              <w:rPr>
                <w:rFonts w:ascii="Verdana" w:hAnsi="Verdana"/>
                <w:b/>
                <w:bCs/>
                <w:sz w:val="24"/>
              </w:rPr>
            </w:pPr>
            <w:r>
              <w:rPr>
                <w:rFonts w:ascii="Verdana" w:hAnsi="Verdana" w:hint="eastAsia"/>
                <w:bCs/>
                <w:sz w:val="24"/>
              </w:rPr>
              <w:t>投资者关系活动主要内容介绍</w:t>
            </w:r>
          </w:p>
        </w:tc>
        <w:tc>
          <w:tcPr>
            <w:tcW w:w="7275" w:type="dxa"/>
          </w:tcPr>
          <w:p w:rsidR="007B0A8F" w:rsidRDefault="009F0295">
            <w:pPr>
              <w:numPr>
                <w:ilvl w:val="0"/>
                <w:numId w:val="1"/>
              </w:numPr>
              <w:rPr>
                <w:rFonts w:asciiTheme="minorEastAsia" w:eastAsiaTheme="minorEastAsia" w:hAnsiTheme="minorEastAsia"/>
                <w:b/>
                <w:szCs w:val="21"/>
                <w:shd w:val="clear" w:color="auto" w:fill="FFFFFF"/>
              </w:rPr>
            </w:pPr>
            <w:r>
              <w:rPr>
                <w:rFonts w:asciiTheme="minorEastAsia" w:eastAsiaTheme="minorEastAsia" w:hAnsiTheme="minorEastAsia" w:hint="eastAsia"/>
                <w:b/>
                <w:szCs w:val="21"/>
                <w:shd w:val="clear" w:color="auto" w:fill="FFFFFF"/>
              </w:rPr>
              <w:t>会谈(1</w:t>
            </w:r>
            <w:r w:rsidR="00387B58">
              <w:rPr>
                <w:rFonts w:asciiTheme="minorEastAsia" w:eastAsiaTheme="minorEastAsia" w:hAnsiTheme="minorEastAsia" w:hint="eastAsia"/>
                <w:b/>
                <w:szCs w:val="21"/>
                <w:shd w:val="clear" w:color="auto" w:fill="FFFFFF"/>
              </w:rPr>
              <w:t>0</w:t>
            </w:r>
            <w:r>
              <w:rPr>
                <w:rFonts w:asciiTheme="minorEastAsia" w:eastAsiaTheme="minorEastAsia" w:hAnsiTheme="minorEastAsia" w:hint="eastAsia"/>
                <w:b/>
                <w:szCs w:val="21"/>
                <w:shd w:val="clear" w:color="auto" w:fill="FFFFFF"/>
              </w:rPr>
              <w:t>:00—1</w:t>
            </w:r>
            <w:r w:rsidR="00387B58">
              <w:rPr>
                <w:rFonts w:asciiTheme="minorEastAsia" w:eastAsiaTheme="minorEastAsia" w:hAnsiTheme="minorEastAsia" w:hint="eastAsia"/>
                <w:b/>
                <w:szCs w:val="21"/>
                <w:shd w:val="clear" w:color="auto" w:fill="FFFFFF"/>
              </w:rPr>
              <w:t>1</w:t>
            </w:r>
            <w:r>
              <w:rPr>
                <w:rFonts w:asciiTheme="minorEastAsia" w:eastAsiaTheme="minorEastAsia" w:hAnsiTheme="minorEastAsia" w:hint="eastAsia"/>
                <w:b/>
                <w:szCs w:val="21"/>
                <w:shd w:val="clear" w:color="auto" w:fill="FFFFFF"/>
              </w:rPr>
              <w:t>:</w:t>
            </w:r>
            <w:r w:rsidR="00387B58">
              <w:rPr>
                <w:rFonts w:asciiTheme="minorEastAsia" w:eastAsiaTheme="minorEastAsia" w:hAnsiTheme="minorEastAsia" w:hint="eastAsia"/>
                <w:b/>
                <w:szCs w:val="21"/>
                <w:shd w:val="clear" w:color="auto" w:fill="FFFFFF"/>
              </w:rPr>
              <w:t>40</w:t>
            </w:r>
            <w:r>
              <w:rPr>
                <w:rFonts w:asciiTheme="minorEastAsia" w:eastAsiaTheme="minorEastAsia" w:hAnsiTheme="minorEastAsia" w:hint="eastAsia"/>
                <w:b/>
                <w:szCs w:val="21"/>
                <w:shd w:val="clear" w:color="auto" w:fill="FFFFFF"/>
              </w:rPr>
              <w:t>)</w:t>
            </w:r>
          </w:p>
          <w:p w:rsidR="007B0A8F" w:rsidRDefault="007B0A8F">
            <w:pPr>
              <w:rPr>
                <w:rFonts w:asciiTheme="minorEastAsia" w:eastAsiaTheme="minorEastAsia" w:hAnsiTheme="minorEastAsia"/>
                <w:b/>
                <w:bCs/>
                <w:szCs w:val="21"/>
              </w:rPr>
            </w:pPr>
          </w:p>
          <w:p w:rsidR="00D26F21" w:rsidRPr="00D26F21" w:rsidRDefault="00D26F21" w:rsidP="00D26F21">
            <w:pPr>
              <w:pStyle w:val="a9"/>
              <w:numPr>
                <w:ilvl w:val="0"/>
                <w:numId w:val="1"/>
              </w:numPr>
              <w:ind w:firstLineChars="0"/>
              <w:rPr>
                <w:b/>
                <w:bCs/>
              </w:rPr>
            </w:pPr>
            <w:r w:rsidRPr="00D26F21">
              <w:rPr>
                <w:rFonts w:hint="eastAsia"/>
                <w:b/>
                <w:bCs/>
              </w:rPr>
              <w:t>面对开放、互联的工业物联网时代，前期三丰智能与西门子深度战略合作，目前的进展情况能简要介绍一下吗</w:t>
            </w:r>
            <w:r w:rsidRPr="00D26F21">
              <w:rPr>
                <w:rFonts w:hint="eastAsia"/>
                <w:b/>
                <w:bCs/>
              </w:rPr>
              <w:t>?</w:t>
            </w:r>
          </w:p>
          <w:p w:rsidR="00D26F21" w:rsidRPr="00D26F21" w:rsidRDefault="00D26F21" w:rsidP="00D26F21">
            <w:pPr>
              <w:pStyle w:val="a9"/>
              <w:ind w:left="720" w:firstLineChars="0" w:firstLine="0"/>
              <w:rPr>
                <w:b/>
                <w:bCs/>
              </w:rPr>
            </w:pPr>
          </w:p>
          <w:p w:rsidR="00D26F21" w:rsidRDefault="00D26F21" w:rsidP="00D26F21">
            <w:pPr>
              <w:ind w:firstLine="310"/>
            </w:pPr>
            <w:r>
              <w:rPr>
                <w:rFonts w:hint="eastAsia"/>
              </w:rPr>
              <w:t>答：公司基于智能装备行业物联网生态与西门子进行战略合作，利用西门子工业云平台</w:t>
            </w:r>
            <w:proofErr w:type="spellStart"/>
            <w:r>
              <w:rPr>
                <w:rFonts w:hint="eastAsia"/>
              </w:rPr>
              <w:t>MindSphere</w:t>
            </w:r>
            <w:proofErr w:type="spellEnd"/>
            <w:r>
              <w:rPr>
                <w:rFonts w:hint="eastAsia"/>
              </w:rPr>
              <w:t>帮助客户完成数据的采集、传输、存储、分析及应用。目前基于系统设备数据采集与分析的研究，数据平台的搭建前期阶段，计划</w:t>
            </w:r>
            <w:r>
              <w:rPr>
                <w:rFonts w:hint="eastAsia"/>
              </w:rPr>
              <w:t>2020</w:t>
            </w:r>
            <w:r>
              <w:rPr>
                <w:rFonts w:hint="eastAsia"/>
              </w:rPr>
              <w:t>年向汽车行业推广设备智能监控与维护的业务服务模型。另外，三丰机器人围绕新一代控制系统与西门子展开深度合作，从</w:t>
            </w:r>
            <w:r>
              <w:rPr>
                <w:rFonts w:hint="eastAsia"/>
              </w:rPr>
              <w:t>AGV</w:t>
            </w:r>
            <w:r>
              <w:rPr>
                <w:rFonts w:hint="eastAsia"/>
              </w:rPr>
              <w:t>控制系统的集成化、标准化和通用化三个方面深入研究，结合软硬件开发，已经实现了第一台样机进入测试阶段，广汽宜昌与国能新能源项目</w:t>
            </w:r>
            <w:r>
              <w:rPr>
                <w:rFonts w:hint="eastAsia"/>
              </w:rPr>
              <w:t>AGV</w:t>
            </w:r>
            <w:r>
              <w:rPr>
                <w:rFonts w:hint="eastAsia"/>
              </w:rPr>
              <w:t>采用工业云数据采集目前正在展开中。凭借在汽车工业自动化领域的深厚积累，三丰智能将依托</w:t>
            </w:r>
            <w:bookmarkStart w:id="0" w:name="_GoBack"/>
            <w:bookmarkEnd w:id="0"/>
            <w:r>
              <w:rPr>
                <w:rFonts w:hint="eastAsia"/>
              </w:rPr>
              <w:t>西门子</w:t>
            </w:r>
            <w:proofErr w:type="spellStart"/>
            <w:r>
              <w:rPr>
                <w:rFonts w:hint="eastAsia"/>
                <w:b/>
                <w:bCs/>
              </w:rPr>
              <w:t>MindSphere</w:t>
            </w:r>
            <w:proofErr w:type="spellEnd"/>
            <w:r>
              <w:rPr>
                <w:rFonts w:hint="eastAsia"/>
              </w:rPr>
              <w:t>平台为汽车行业客户提供具有附加价值且安全的数字化服务，开发并运营基于该平台的数字化工业应用，帮助汽车行业客户充分挖掘数据价值，持续推动汽车行业客户的数字化转型发展。</w:t>
            </w:r>
          </w:p>
          <w:p w:rsidR="007B0A8F" w:rsidRPr="00D26F21" w:rsidRDefault="007B0A8F">
            <w:pPr>
              <w:rPr>
                <w:rFonts w:asciiTheme="minorEastAsia" w:eastAsiaTheme="minorEastAsia" w:hAnsiTheme="minorEastAsia"/>
                <w:b/>
                <w:bCs/>
                <w:szCs w:val="21"/>
              </w:rPr>
            </w:pPr>
          </w:p>
          <w:p w:rsidR="00D26F21" w:rsidRDefault="009F0295" w:rsidP="00D26F21">
            <w:pPr>
              <w:rPr>
                <w:b/>
                <w:bCs/>
              </w:rPr>
            </w:pPr>
            <w:r>
              <w:rPr>
                <w:rStyle w:val="apple-converted-space"/>
                <w:rFonts w:asciiTheme="minorEastAsia" w:eastAsiaTheme="minorEastAsia" w:hAnsiTheme="minorEastAsia" w:cs="Arial"/>
                <w:b/>
                <w:szCs w:val="21"/>
              </w:rPr>
              <w:lastRenderedPageBreak/>
              <w:t>三</w:t>
            </w:r>
            <w:r>
              <w:rPr>
                <w:rFonts w:asciiTheme="minorEastAsia" w:eastAsiaTheme="minorEastAsia" w:hAnsiTheme="minorEastAsia" w:cs="Arial"/>
                <w:b/>
                <w:szCs w:val="21"/>
              </w:rPr>
              <w:t>、</w:t>
            </w:r>
            <w:r w:rsidR="00D26F21">
              <w:rPr>
                <w:rFonts w:hint="eastAsia"/>
                <w:b/>
                <w:bCs/>
              </w:rPr>
              <w:t>平台化开发已经是各大整车企业降低研发成本，缩短开发周期的重要手段之一，目前一线车企运用的全新模块化平台，将成为未来汽车生产发展的方向。请问上海鑫燕隆作为国内白车身焊装自动化龙头企业，如何看待新平台对汽车行业的影响，公司是否有对应业务切入？</w:t>
            </w:r>
          </w:p>
          <w:p w:rsidR="00D26F21" w:rsidRDefault="00D26F21" w:rsidP="00D26F21">
            <w:pPr>
              <w:rPr>
                <w:b/>
                <w:bCs/>
              </w:rPr>
            </w:pPr>
          </w:p>
          <w:p w:rsidR="00D26F21" w:rsidRDefault="00D26F21" w:rsidP="00D26F21">
            <w:pPr>
              <w:ind w:firstLineChars="200" w:firstLine="420"/>
            </w:pPr>
            <w:r>
              <w:rPr>
                <w:rFonts w:hint="eastAsia"/>
              </w:rPr>
              <w:t>答：目前各大车企把重点放在平台内模块的共享和全球柔性生产，模块化平台将有效减少汽车部件成本与固定投资，缩短工程时间，并支持更多车型。翻开销量数据，当车企站在年销百万台这个高度上以后，模块化架构将成为车企冲击更高销量目标的重要依托，以及跻身世界领先汽车企业的重要标志。消费者较为熟知的就有丰田</w:t>
            </w:r>
            <w:r>
              <w:rPr>
                <w:rFonts w:hint="eastAsia"/>
              </w:rPr>
              <w:t>TNGA</w:t>
            </w:r>
            <w:r>
              <w:rPr>
                <w:rFonts w:hint="eastAsia"/>
              </w:rPr>
              <w:t>、大众</w:t>
            </w:r>
            <w:r>
              <w:rPr>
                <w:rFonts w:hint="eastAsia"/>
              </w:rPr>
              <w:t>MQB/MLB</w:t>
            </w:r>
            <w:r>
              <w:rPr>
                <w:rFonts w:hint="eastAsia"/>
              </w:rPr>
              <w:t>、宝马</w:t>
            </w:r>
            <w:r>
              <w:rPr>
                <w:rFonts w:hint="eastAsia"/>
              </w:rPr>
              <w:t>UKL/CLAR</w:t>
            </w:r>
            <w:r>
              <w:rPr>
                <w:rFonts w:hint="eastAsia"/>
              </w:rPr>
              <w:t>、通用</w:t>
            </w:r>
            <w:r>
              <w:rPr>
                <w:rFonts w:hint="eastAsia"/>
              </w:rPr>
              <w:t>Epsilon</w:t>
            </w:r>
            <w:r>
              <w:rPr>
                <w:rFonts w:hint="eastAsia"/>
              </w:rPr>
              <w:t>平台、奔驰</w:t>
            </w:r>
            <w:r>
              <w:rPr>
                <w:rFonts w:hint="eastAsia"/>
              </w:rPr>
              <w:t>MFA</w:t>
            </w:r>
            <w:r>
              <w:rPr>
                <w:rFonts w:hint="eastAsia"/>
              </w:rPr>
              <w:t>平台、雷诺</w:t>
            </w:r>
            <w:r>
              <w:rPr>
                <w:rFonts w:hint="eastAsia"/>
              </w:rPr>
              <w:t>-</w:t>
            </w:r>
            <w:r>
              <w:rPr>
                <w:rFonts w:hint="eastAsia"/>
              </w:rPr>
              <w:t>日产</w:t>
            </w:r>
            <w:r>
              <w:rPr>
                <w:rFonts w:hint="eastAsia"/>
              </w:rPr>
              <w:t>CMF</w:t>
            </w:r>
            <w:r>
              <w:rPr>
                <w:rFonts w:hint="eastAsia"/>
              </w:rPr>
              <w:t>等架构、沃尔沃</w:t>
            </w:r>
            <w:r>
              <w:rPr>
                <w:rFonts w:hint="eastAsia"/>
              </w:rPr>
              <w:t>CMA</w:t>
            </w:r>
            <w:r>
              <w:rPr>
                <w:rFonts w:hint="eastAsia"/>
              </w:rPr>
              <w:t>、</w:t>
            </w:r>
            <w:r>
              <w:rPr>
                <w:rFonts w:hint="eastAsia"/>
              </w:rPr>
              <w:t>SPA</w:t>
            </w:r>
            <w:r>
              <w:rPr>
                <w:rFonts w:hint="eastAsia"/>
              </w:rPr>
              <w:t>平台。应该说，模块化架构是国际化车企术研发能力、生产管理水平、企业资金实力与供应链整合等综合能力的重要体现。而拥有了平台，就相当于掌握一套涉及传动、动力输出、底盘架构的研发制造闭环，拥有平台将掌握更多产品研发的主动权。所以模块化平台技术犹如华为的麒麟芯片，未来没有这项技术的车企面临的是一种无芯状态，缺乏核心竞争能力。整体而言，新一代模块化平台具备以下游竞争加剧导致整车厂需要持续推出新车型维系销量，而消费升级也使得消费者对汽车的个性化需求日益提升。模块化平台对于整车厂而言兼具推出周期缩短以及样式多样化提升的优点，因此已经成为国际主流车企的共识，后期将持续成为整车厂研发能力、成本、市场竞争的焦点所在。目前国内合资企业平台优势更加突出，吉利、广汽等自主品牌相对出众，平台建设得比较好的整车厂有一汽大众、上汽大众、上汽通用、一汽丰田、广汽丰田、东风日产、吉利汽车、广汽传祺等；其次为广汽本田、东风本田、北京现代、东风悦达起亚、长安福特、上汽通用五菱、比亚迪、长城、上汽自主、北汽自主等；平台化能力较弱的有一汽马自达、长安马自达、长安自主、奇瑞等。</w:t>
            </w:r>
          </w:p>
          <w:p w:rsidR="00D26F21" w:rsidRDefault="00D26F21" w:rsidP="00D26F21">
            <w:pPr>
              <w:ind w:firstLineChars="200" w:firstLine="420"/>
              <w:rPr>
                <w:szCs w:val="21"/>
              </w:rPr>
            </w:pPr>
            <w:r>
              <w:rPr>
                <w:rFonts w:hint="eastAsia"/>
                <w:szCs w:val="21"/>
              </w:rPr>
              <w:t>鑫燕隆焊装自动化业务早已在通用汽车、大众汽车和自主一线品牌等车企中得到高效运用，在今年</w:t>
            </w:r>
            <w:r>
              <w:rPr>
                <w:szCs w:val="21"/>
              </w:rPr>
              <w:t>大众集团最先进的电动汽车平台</w:t>
            </w:r>
            <w:r>
              <w:rPr>
                <w:szCs w:val="21"/>
              </w:rPr>
              <w:t>MEB</w:t>
            </w:r>
            <w:r>
              <w:rPr>
                <w:szCs w:val="21"/>
              </w:rPr>
              <w:t>首家工厂上海安亭的新能源汽车工厂</w:t>
            </w:r>
            <w:r>
              <w:rPr>
                <w:rFonts w:hint="eastAsia"/>
                <w:szCs w:val="21"/>
              </w:rPr>
              <w:t>，</w:t>
            </w:r>
            <w:r>
              <w:rPr>
                <w:szCs w:val="21"/>
              </w:rPr>
              <w:t>结合工业</w:t>
            </w:r>
            <w:r>
              <w:rPr>
                <w:szCs w:val="21"/>
              </w:rPr>
              <w:t>4.0</w:t>
            </w:r>
            <w:r>
              <w:rPr>
                <w:szCs w:val="21"/>
              </w:rPr>
              <w:t>的理念，采用最新的生产和自动化技术，</w:t>
            </w:r>
            <w:r>
              <w:rPr>
                <w:rFonts w:hint="eastAsia"/>
                <w:szCs w:val="21"/>
              </w:rPr>
              <w:t>鑫燕隆的焊装自动化产线占比已超过</w:t>
            </w:r>
            <w:r>
              <w:rPr>
                <w:rFonts w:hint="eastAsia"/>
                <w:szCs w:val="21"/>
              </w:rPr>
              <w:t>60%</w:t>
            </w:r>
            <w:r>
              <w:rPr>
                <w:rFonts w:hint="eastAsia"/>
                <w:szCs w:val="21"/>
              </w:rPr>
              <w:t>，另外近期基于宝马汽车高端新平台焊装业务也在有序推进中。合资品牌整车厂的平台技术领先于自主品牌。自主品牌由于起步较晚，国内整车厂的发展水平和研发实力整体上落后于国际主流车企。但合资品牌凭借合资外企的技术和经验输入，在整车平台的竞争上占取先机，基本上完全继承了国外的先进平台技术。自主品牌由于发展慢，体量小，车型销售盈利无法在短时间内消化大额的平台研发支出，因此在整车平台的竞争中处于相对劣势，但近年来自主品牌也开始加强模块化平台的建设，也逐步建成了较完善的技术体系。</w:t>
            </w:r>
          </w:p>
          <w:p w:rsidR="007B0A8F" w:rsidRPr="00D26F21" w:rsidRDefault="007B0A8F">
            <w:pPr>
              <w:rPr>
                <w:rFonts w:asciiTheme="minorEastAsia" w:eastAsiaTheme="minorEastAsia" w:hAnsiTheme="minorEastAsia"/>
                <w:sz w:val="14"/>
                <w:szCs w:val="14"/>
                <w:shd w:val="clear" w:color="auto" w:fill="FFFFFF"/>
              </w:rPr>
            </w:pPr>
          </w:p>
          <w:p w:rsidR="00D26F21" w:rsidRDefault="009F0295" w:rsidP="00D26F21">
            <w:pPr>
              <w:ind w:firstLineChars="200" w:firstLine="422"/>
              <w:rPr>
                <w:b/>
                <w:bCs/>
              </w:rPr>
            </w:pPr>
            <w:r>
              <w:rPr>
                <w:rFonts w:asciiTheme="minorEastAsia" w:eastAsiaTheme="minorEastAsia" w:hAnsiTheme="minorEastAsia" w:hint="eastAsia"/>
                <w:b/>
                <w:szCs w:val="21"/>
                <w:shd w:val="clear" w:color="auto" w:fill="FFFFFF"/>
              </w:rPr>
              <w:t>四、</w:t>
            </w:r>
            <w:r w:rsidR="00D26F21">
              <w:rPr>
                <w:rFonts w:hint="eastAsia"/>
                <w:b/>
                <w:bCs/>
              </w:rPr>
              <w:t>请问鑫燕隆作为国内仅有的几家具备汽车行业焊装自动化项目总包技术实力的公司，如何看待汽车行业焊装自动化系统集成的技术门槛？</w:t>
            </w:r>
          </w:p>
          <w:p w:rsidR="00D26F21" w:rsidRDefault="00D26F21" w:rsidP="00D26F21"/>
          <w:p w:rsidR="00D26F21" w:rsidRDefault="00D26F21" w:rsidP="00D26F21">
            <w:pPr>
              <w:ind w:firstLineChars="200" w:firstLine="420"/>
            </w:pPr>
            <w:r>
              <w:rPr>
                <w:rFonts w:hint="eastAsia"/>
              </w:rPr>
              <w:t>答：目前，全球范围内具备整车的智能制造装备平台开发和实施能力的也仅有德国、日本、意大利、中国等少数国家，国内汽车智能焊装企业目前在国际市场上已具备一定竞争力。我国汽车智能焊装行业的市场化程度较高，竞争格局分为三个层次：一是具备汽车智能制造装备整厂工程设计、总包能力的国</w:t>
            </w:r>
            <w:r>
              <w:rPr>
                <w:rFonts w:hint="eastAsia"/>
              </w:rPr>
              <w:lastRenderedPageBreak/>
              <w:t>际知名企业，如</w:t>
            </w:r>
            <w:r>
              <w:rPr>
                <w:rFonts w:hint="eastAsia"/>
              </w:rPr>
              <w:t>ABB</w:t>
            </w:r>
            <w:r>
              <w:rPr>
                <w:rFonts w:hint="eastAsia"/>
              </w:rPr>
              <w:t>、艾森曼、日本帕卡等；二是具备较强的汽车智能制造装备系统研发设计能力，且生产、安装调试及售后服务综合能力较强的国内优势企业，如鑫燕隆、奥托、三丰、天奇等；三是不具备系统设计能力，或研发设计能力不强的众多工艺单元供应企业。前两类企业占据全行业较大的市场份额，各优势企业均有长期合作的业务伙伴和擅长的业务领域。</w:t>
            </w:r>
          </w:p>
          <w:p w:rsidR="00D26F21" w:rsidRDefault="00D26F21" w:rsidP="00D26F21">
            <w:pPr>
              <w:ind w:firstLineChars="200" w:firstLine="420"/>
            </w:pPr>
            <w:r>
              <w:rPr>
                <w:rFonts w:hint="eastAsia"/>
              </w:rPr>
              <w:t>虽然焊装系统集成可以大量采用上游企业成熟、先进的技术成果，但并不意味着从事系统集成就没有技术含量，系统中如何将不同厂家之间的产品、软件和硬件实现兼容并且调校出最大效能，也是一件难度极大的系统工程。目前全球光刻机寡头企业荷兰</w:t>
            </w:r>
            <w:r>
              <w:rPr>
                <w:rFonts w:hint="eastAsia"/>
              </w:rPr>
              <w:t>ASML</w:t>
            </w:r>
            <w:r>
              <w:rPr>
                <w:rFonts w:hint="eastAsia"/>
              </w:rPr>
              <w:t>公司就是一家从事集成的公司，其镜头和光源都是从美国或者德国采购，但这并不意味着中国企业就能造出与</w:t>
            </w:r>
            <w:r>
              <w:rPr>
                <w:rFonts w:hint="eastAsia"/>
              </w:rPr>
              <w:t>ASML</w:t>
            </w:r>
            <w:r>
              <w:rPr>
                <w:rFonts w:hint="eastAsia"/>
              </w:rPr>
              <w:t>竞争的光刻机，国产数控机床所也大量采用的国外一流零部件，但是在市场认可上远不如国外品牌，这些都足以看出系统集成，尤其是汽车等先进制造装备的系统集成难度。车企焊接生产线较为复杂，仅控制方面，需要伺服、网络、机器人等技术的支持，且还包括视觉应用。基本上，整个自动化控制领域，先进技术都会在这一生产线的控制层面中体现。</w:t>
            </w:r>
          </w:p>
          <w:p w:rsidR="00D26F21" w:rsidRDefault="00D26F21" w:rsidP="00D26F21">
            <w:pPr>
              <w:ind w:firstLineChars="200" w:firstLine="420"/>
            </w:pPr>
          </w:p>
          <w:p w:rsidR="007B0A8F" w:rsidRDefault="00D26F21">
            <w:pPr>
              <w:rPr>
                <w:rFonts w:asciiTheme="minorEastAsia" w:eastAsiaTheme="minorEastAsia" w:hAnsiTheme="minorEastAsia"/>
                <w:b/>
                <w:szCs w:val="21"/>
                <w:shd w:val="clear" w:color="auto" w:fill="FFFFFF"/>
              </w:rPr>
            </w:pPr>
            <w:r>
              <w:rPr>
                <w:rFonts w:asciiTheme="minorEastAsia" w:eastAsiaTheme="minorEastAsia" w:hAnsiTheme="minorEastAsia" w:hint="eastAsia"/>
                <w:szCs w:val="21"/>
              </w:rPr>
              <w:t>五</w:t>
            </w:r>
            <w:r w:rsidR="009F0295">
              <w:rPr>
                <w:rFonts w:asciiTheme="minorEastAsia" w:eastAsiaTheme="minorEastAsia" w:hAnsiTheme="minorEastAsia"/>
                <w:szCs w:val="21"/>
              </w:rPr>
              <w:t>、</w:t>
            </w:r>
            <w:r w:rsidR="009F0295">
              <w:rPr>
                <w:rFonts w:asciiTheme="minorEastAsia" w:eastAsiaTheme="minorEastAsia" w:hAnsiTheme="minorEastAsia" w:hint="eastAsia"/>
                <w:b/>
                <w:szCs w:val="21"/>
                <w:shd w:val="clear" w:color="auto" w:fill="FFFFFF"/>
              </w:rPr>
              <w:t>参观鑫燕隆生产制造现场(</w:t>
            </w:r>
            <w:r>
              <w:rPr>
                <w:rFonts w:asciiTheme="minorEastAsia" w:eastAsiaTheme="minorEastAsia" w:hAnsiTheme="minorEastAsia" w:hint="eastAsia"/>
                <w:b/>
                <w:szCs w:val="21"/>
                <w:shd w:val="clear" w:color="auto" w:fill="FFFFFF"/>
              </w:rPr>
              <w:t>11:40</w:t>
            </w:r>
            <w:r w:rsidR="009F0295">
              <w:rPr>
                <w:rFonts w:asciiTheme="minorEastAsia" w:eastAsiaTheme="minorEastAsia" w:hAnsiTheme="minorEastAsia" w:hint="eastAsia"/>
                <w:b/>
                <w:szCs w:val="21"/>
                <w:shd w:val="clear" w:color="auto" w:fill="FFFFFF"/>
              </w:rPr>
              <w:t>—1</w:t>
            </w:r>
            <w:r>
              <w:rPr>
                <w:rFonts w:asciiTheme="minorEastAsia" w:eastAsiaTheme="minorEastAsia" w:hAnsiTheme="minorEastAsia" w:hint="eastAsia"/>
                <w:b/>
                <w:szCs w:val="21"/>
                <w:shd w:val="clear" w:color="auto" w:fill="FFFFFF"/>
              </w:rPr>
              <w:t>2</w:t>
            </w:r>
            <w:r w:rsidR="009F0295">
              <w:rPr>
                <w:rFonts w:asciiTheme="minorEastAsia" w:eastAsiaTheme="minorEastAsia" w:hAnsiTheme="minorEastAsia" w:hint="eastAsia"/>
                <w:b/>
                <w:szCs w:val="21"/>
                <w:shd w:val="clear" w:color="auto" w:fill="FFFFFF"/>
              </w:rPr>
              <w:t>:</w:t>
            </w:r>
            <w:r>
              <w:rPr>
                <w:rFonts w:asciiTheme="minorEastAsia" w:eastAsiaTheme="minorEastAsia" w:hAnsiTheme="minorEastAsia" w:hint="eastAsia"/>
                <w:b/>
                <w:szCs w:val="21"/>
                <w:shd w:val="clear" w:color="auto" w:fill="FFFFFF"/>
              </w:rPr>
              <w:t>08</w:t>
            </w:r>
            <w:r w:rsidR="009F0295">
              <w:rPr>
                <w:rFonts w:asciiTheme="minorEastAsia" w:eastAsiaTheme="minorEastAsia" w:hAnsiTheme="minorEastAsia" w:hint="eastAsia"/>
                <w:b/>
                <w:szCs w:val="21"/>
                <w:shd w:val="clear" w:color="auto" w:fill="FFFFFF"/>
              </w:rPr>
              <w:t>)</w:t>
            </w:r>
          </w:p>
          <w:p w:rsidR="007B0A8F" w:rsidRDefault="007B0A8F">
            <w:pPr>
              <w:rPr>
                <w:rFonts w:asciiTheme="minorEastAsia" w:eastAsiaTheme="minorEastAsia" w:hAnsiTheme="minorEastAsia"/>
                <w:b/>
                <w:szCs w:val="21"/>
                <w:shd w:val="clear" w:color="auto" w:fill="FFFFFF"/>
              </w:rPr>
            </w:pPr>
          </w:p>
        </w:tc>
      </w:tr>
      <w:tr w:rsidR="007B0A8F">
        <w:trPr>
          <w:trHeight w:val="575"/>
        </w:trPr>
        <w:tc>
          <w:tcPr>
            <w:tcW w:w="2100" w:type="dxa"/>
            <w:vAlign w:val="center"/>
          </w:tcPr>
          <w:p w:rsidR="007B0A8F" w:rsidRDefault="009F0295">
            <w:pPr>
              <w:rPr>
                <w:rFonts w:ascii="Verdana" w:hAnsi="Verdana"/>
                <w:bCs/>
                <w:sz w:val="24"/>
              </w:rPr>
            </w:pPr>
            <w:r>
              <w:rPr>
                <w:rFonts w:ascii="Verdana" w:hAnsi="Verdana" w:hint="eastAsia"/>
                <w:bCs/>
                <w:sz w:val="24"/>
              </w:rPr>
              <w:lastRenderedPageBreak/>
              <w:t>附件清单（如有）</w:t>
            </w:r>
          </w:p>
        </w:tc>
        <w:tc>
          <w:tcPr>
            <w:tcW w:w="7275" w:type="dxa"/>
            <w:vAlign w:val="center"/>
          </w:tcPr>
          <w:p w:rsidR="007B0A8F" w:rsidRDefault="009F0295">
            <w:pPr>
              <w:jc w:val="left"/>
              <w:rPr>
                <w:rFonts w:ascii="Verdana" w:hAnsi="Verdana"/>
                <w:bCs/>
                <w:szCs w:val="21"/>
              </w:rPr>
            </w:pPr>
            <w:r>
              <w:rPr>
                <w:rFonts w:ascii="Verdana" w:hAnsi="Verdana" w:hint="eastAsia"/>
                <w:bCs/>
                <w:szCs w:val="21"/>
              </w:rPr>
              <w:t>机构投资者承诺书</w:t>
            </w:r>
          </w:p>
        </w:tc>
      </w:tr>
      <w:tr w:rsidR="007B0A8F">
        <w:trPr>
          <w:trHeight w:val="566"/>
        </w:trPr>
        <w:tc>
          <w:tcPr>
            <w:tcW w:w="2100" w:type="dxa"/>
            <w:vAlign w:val="center"/>
          </w:tcPr>
          <w:p w:rsidR="007B0A8F" w:rsidRDefault="009F0295">
            <w:pPr>
              <w:rPr>
                <w:rFonts w:ascii="Verdana" w:hAnsi="Verdana"/>
                <w:bCs/>
                <w:sz w:val="24"/>
              </w:rPr>
            </w:pPr>
            <w:r>
              <w:rPr>
                <w:rFonts w:ascii="Verdana" w:hAnsi="Verdana" w:hint="eastAsia"/>
                <w:bCs/>
                <w:sz w:val="24"/>
              </w:rPr>
              <w:t>日期</w:t>
            </w:r>
          </w:p>
        </w:tc>
        <w:tc>
          <w:tcPr>
            <w:tcW w:w="7275" w:type="dxa"/>
          </w:tcPr>
          <w:p w:rsidR="007B0A8F" w:rsidRDefault="00616751">
            <w:pPr>
              <w:rPr>
                <w:rFonts w:ascii="Verdana" w:hAnsi="Verdana"/>
                <w:bCs/>
                <w:sz w:val="24"/>
              </w:rPr>
            </w:pPr>
            <w:r>
              <w:rPr>
                <w:rFonts w:ascii="Verdana" w:hAnsi="Verdana" w:hint="eastAsia"/>
                <w:bCs/>
                <w:sz w:val="24"/>
              </w:rPr>
              <w:t>2019-07-03</w:t>
            </w:r>
          </w:p>
        </w:tc>
      </w:tr>
    </w:tbl>
    <w:p w:rsidR="007B0A8F" w:rsidRDefault="007B0A8F">
      <w:pPr>
        <w:rPr>
          <w:rFonts w:ascii="Verdana" w:hAnsi="Verdana"/>
          <w:b/>
          <w:bCs/>
          <w:color w:val="CC3300"/>
          <w:szCs w:val="21"/>
        </w:rPr>
      </w:pPr>
    </w:p>
    <w:sectPr w:rsidR="007B0A8F" w:rsidSect="007B0A8F">
      <w:headerReference w:type="default" r:id="rId8"/>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E4" w:rsidRDefault="00344BE4" w:rsidP="007B0A8F">
      <w:r>
        <w:separator/>
      </w:r>
    </w:p>
  </w:endnote>
  <w:endnote w:type="continuationSeparator" w:id="0">
    <w:p w:rsidR="00344BE4" w:rsidRDefault="00344BE4" w:rsidP="007B0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8F" w:rsidRDefault="00733044">
    <w:pPr>
      <w:pStyle w:val="a4"/>
      <w:framePr w:wrap="around" w:vAnchor="text" w:hAnchor="margin" w:xAlign="center" w:y="1"/>
      <w:rPr>
        <w:rStyle w:val="a8"/>
      </w:rPr>
    </w:pPr>
    <w:r>
      <w:rPr>
        <w:rStyle w:val="a8"/>
      </w:rPr>
      <w:fldChar w:fldCharType="begin"/>
    </w:r>
    <w:r w:rsidR="009F0295">
      <w:rPr>
        <w:rStyle w:val="a8"/>
      </w:rPr>
      <w:instrText xml:space="preserve">PAGE  </w:instrText>
    </w:r>
    <w:r>
      <w:rPr>
        <w:rStyle w:val="a8"/>
      </w:rPr>
      <w:fldChar w:fldCharType="end"/>
    </w:r>
  </w:p>
  <w:p w:rsidR="007B0A8F" w:rsidRDefault="007B0A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8F" w:rsidRDefault="009F0295">
    <w:pPr>
      <w:pStyle w:val="a4"/>
      <w:ind w:firstLineChars="2050" w:firstLine="3690"/>
    </w:pPr>
    <w:r>
      <w:rPr>
        <w:rFonts w:hint="eastAsia"/>
        <w:kern w:val="0"/>
        <w:szCs w:val="21"/>
      </w:rPr>
      <w:t>第</w:t>
    </w:r>
    <w:r>
      <w:rPr>
        <w:rFonts w:hint="eastAsia"/>
        <w:kern w:val="0"/>
        <w:szCs w:val="21"/>
      </w:rPr>
      <w:t xml:space="preserve"> </w:t>
    </w:r>
    <w:r w:rsidR="00733044">
      <w:rPr>
        <w:kern w:val="0"/>
        <w:szCs w:val="21"/>
      </w:rPr>
      <w:fldChar w:fldCharType="begin"/>
    </w:r>
    <w:r>
      <w:rPr>
        <w:kern w:val="0"/>
        <w:szCs w:val="21"/>
      </w:rPr>
      <w:instrText xml:space="preserve"> PAGE </w:instrText>
    </w:r>
    <w:r w:rsidR="00733044">
      <w:rPr>
        <w:kern w:val="0"/>
        <w:szCs w:val="21"/>
      </w:rPr>
      <w:fldChar w:fldCharType="separate"/>
    </w:r>
    <w:r w:rsidR="00616751">
      <w:rPr>
        <w:noProof/>
        <w:kern w:val="0"/>
        <w:szCs w:val="21"/>
      </w:rPr>
      <w:t>3</w:t>
    </w:r>
    <w:r w:rsidR="00733044">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33044">
      <w:rPr>
        <w:kern w:val="0"/>
        <w:szCs w:val="21"/>
      </w:rPr>
      <w:fldChar w:fldCharType="begin"/>
    </w:r>
    <w:r>
      <w:rPr>
        <w:kern w:val="0"/>
        <w:szCs w:val="21"/>
      </w:rPr>
      <w:instrText xml:space="preserve"> NUMPAGES </w:instrText>
    </w:r>
    <w:r w:rsidR="00733044">
      <w:rPr>
        <w:kern w:val="0"/>
        <w:szCs w:val="21"/>
      </w:rPr>
      <w:fldChar w:fldCharType="separate"/>
    </w:r>
    <w:r w:rsidR="00616751">
      <w:rPr>
        <w:noProof/>
        <w:kern w:val="0"/>
        <w:szCs w:val="21"/>
      </w:rPr>
      <w:t>3</w:t>
    </w:r>
    <w:r w:rsidR="00733044">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E4" w:rsidRDefault="00344BE4" w:rsidP="007B0A8F">
      <w:r>
        <w:separator/>
      </w:r>
    </w:p>
  </w:footnote>
  <w:footnote w:type="continuationSeparator" w:id="0">
    <w:p w:rsidR="00344BE4" w:rsidRDefault="00344BE4" w:rsidP="007B0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8F" w:rsidRDefault="009F0295">
    <w:pPr>
      <w:pStyle w:val="a5"/>
      <w:pBdr>
        <w:bottom w:val="single" w:sz="6" w:space="0" w:color="auto"/>
      </w:pBdr>
      <w:tabs>
        <w:tab w:val="left" w:pos="2355"/>
      </w:tabs>
      <w:jc w:val="both"/>
    </w:pPr>
    <w:r>
      <w:rPr>
        <w:noProof/>
      </w:rPr>
      <w:drawing>
        <wp:inline distT="0" distB="0" distL="114300" distR="114300">
          <wp:extent cx="336550" cy="152400"/>
          <wp:effectExtent l="0" t="0" r="6350" b="0"/>
          <wp:docPr id="1" name="图片 1" descr="三丰商标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丰商标02"/>
                  <pic:cNvPicPr>
                    <a:picLocks noChangeAspect="1"/>
                  </pic:cNvPicPr>
                </pic:nvPicPr>
                <pic:blipFill>
                  <a:blip r:embed="rId1"/>
                  <a:stretch>
                    <a:fillRect/>
                  </a:stretch>
                </pic:blipFill>
                <pic:spPr>
                  <a:xfrm>
                    <a:off x="0" y="0"/>
                    <a:ext cx="336550" cy="152400"/>
                  </a:xfrm>
                  <a:prstGeom prst="rect">
                    <a:avLst/>
                  </a:prstGeom>
                  <a:noFill/>
                  <a:ln>
                    <a:noFill/>
                  </a:ln>
                </pic:spPr>
              </pic:pic>
            </a:graphicData>
          </a:graphic>
        </wp:inline>
      </w:drawing>
    </w:r>
    <w:r>
      <w:tab/>
    </w:r>
    <w:r>
      <w:tab/>
    </w:r>
    <w:r>
      <w:rPr>
        <w:rFonts w:hint="eastAsia"/>
      </w:rPr>
      <w:t xml:space="preserve">                                  </w:t>
    </w:r>
    <w:r>
      <w:rPr>
        <w:rFonts w:ascii="楷体_GB2312" w:eastAsia="楷体_GB2312" w:hint="eastAsia"/>
      </w:rPr>
      <w:t>湖北三丰智能输送装备股份有限公司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315012"/>
    <w:multiLevelType w:val="singleLevel"/>
    <w:tmpl w:val="E8315012"/>
    <w:lvl w:ilvl="0">
      <w:start w:val="1"/>
      <w:numFmt w:val="chineseCounting"/>
      <w:suff w:val="nothing"/>
      <w:lvlText w:val="%1、"/>
      <w:lvlJc w:val="left"/>
      <w:rPr>
        <w:rFonts w:hint="eastAsia"/>
      </w:rPr>
    </w:lvl>
  </w:abstractNum>
  <w:abstractNum w:abstractNumId="1">
    <w:nsid w:val="24422314"/>
    <w:multiLevelType w:val="multilevel"/>
    <w:tmpl w:val="24422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184"/>
    <w:rsid w:val="000328A4"/>
    <w:rsid w:val="00035A93"/>
    <w:rsid w:val="000369CC"/>
    <w:rsid w:val="000373D3"/>
    <w:rsid w:val="00063E18"/>
    <w:rsid w:val="00067C0D"/>
    <w:rsid w:val="000713E1"/>
    <w:rsid w:val="00071DDA"/>
    <w:rsid w:val="000775CE"/>
    <w:rsid w:val="000941EB"/>
    <w:rsid w:val="000A394C"/>
    <w:rsid w:val="000C157F"/>
    <w:rsid w:val="000C544C"/>
    <w:rsid w:val="000F35C8"/>
    <w:rsid w:val="000F4C05"/>
    <w:rsid w:val="000F5CC5"/>
    <w:rsid w:val="0012321D"/>
    <w:rsid w:val="001377C8"/>
    <w:rsid w:val="00137C76"/>
    <w:rsid w:val="0015396C"/>
    <w:rsid w:val="0015592B"/>
    <w:rsid w:val="00161E20"/>
    <w:rsid w:val="001635BC"/>
    <w:rsid w:val="00174873"/>
    <w:rsid w:val="00184470"/>
    <w:rsid w:val="00192319"/>
    <w:rsid w:val="001A2393"/>
    <w:rsid w:val="001F0DBB"/>
    <w:rsid w:val="001F1BE2"/>
    <w:rsid w:val="001F270D"/>
    <w:rsid w:val="00204979"/>
    <w:rsid w:val="002070D6"/>
    <w:rsid w:val="00214AB2"/>
    <w:rsid w:val="002163F2"/>
    <w:rsid w:val="0022258C"/>
    <w:rsid w:val="00224E88"/>
    <w:rsid w:val="00250A0F"/>
    <w:rsid w:val="00256DBB"/>
    <w:rsid w:val="002657E1"/>
    <w:rsid w:val="0027037D"/>
    <w:rsid w:val="00276853"/>
    <w:rsid w:val="00294117"/>
    <w:rsid w:val="00294317"/>
    <w:rsid w:val="002A1B14"/>
    <w:rsid w:val="002A581D"/>
    <w:rsid w:val="002B2354"/>
    <w:rsid w:val="00307915"/>
    <w:rsid w:val="00337BDC"/>
    <w:rsid w:val="00344BE4"/>
    <w:rsid w:val="00350DC7"/>
    <w:rsid w:val="0035447F"/>
    <w:rsid w:val="00373F5F"/>
    <w:rsid w:val="00377E12"/>
    <w:rsid w:val="00387B58"/>
    <w:rsid w:val="00387EFF"/>
    <w:rsid w:val="003B471A"/>
    <w:rsid w:val="003B5310"/>
    <w:rsid w:val="003C669D"/>
    <w:rsid w:val="003E07C8"/>
    <w:rsid w:val="003E56A0"/>
    <w:rsid w:val="00406449"/>
    <w:rsid w:val="00406C25"/>
    <w:rsid w:val="004174F4"/>
    <w:rsid w:val="00422C90"/>
    <w:rsid w:val="0045373F"/>
    <w:rsid w:val="00457C1F"/>
    <w:rsid w:val="00476539"/>
    <w:rsid w:val="00490B24"/>
    <w:rsid w:val="00492F90"/>
    <w:rsid w:val="004A0228"/>
    <w:rsid w:val="004A0EB8"/>
    <w:rsid w:val="004B438D"/>
    <w:rsid w:val="004B7349"/>
    <w:rsid w:val="004C5051"/>
    <w:rsid w:val="004D3777"/>
    <w:rsid w:val="00501547"/>
    <w:rsid w:val="00507F94"/>
    <w:rsid w:val="00513B44"/>
    <w:rsid w:val="00515E71"/>
    <w:rsid w:val="00532BAD"/>
    <w:rsid w:val="005511AB"/>
    <w:rsid w:val="005548A5"/>
    <w:rsid w:val="00560B28"/>
    <w:rsid w:val="00565605"/>
    <w:rsid w:val="00577B1A"/>
    <w:rsid w:val="00581F0C"/>
    <w:rsid w:val="005843ED"/>
    <w:rsid w:val="0059640F"/>
    <w:rsid w:val="005A67EA"/>
    <w:rsid w:val="005B2E3E"/>
    <w:rsid w:val="005C244E"/>
    <w:rsid w:val="005D1D92"/>
    <w:rsid w:val="005F0FB6"/>
    <w:rsid w:val="00610F43"/>
    <w:rsid w:val="006148A1"/>
    <w:rsid w:val="00616751"/>
    <w:rsid w:val="006417FC"/>
    <w:rsid w:val="006467A1"/>
    <w:rsid w:val="00650F20"/>
    <w:rsid w:val="00665766"/>
    <w:rsid w:val="00672B93"/>
    <w:rsid w:val="00676A3E"/>
    <w:rsid w:val="006810BD"/>
    <w:rsid w:val="00695FD0"/>
    <w:rsid w:val="006B56AE"/>
    <w:rsid w:val="006D40E2"/>
    <w:rsid w:val="00711661"/>
    <w:rsid w:val="00716989"/>
    <w:rsid w:val="00722C6E"/>
    <w:rsid w:val="00722E4C"/>
    <w:rsid w:val="00733044"/>
    <w:rsid w:val="00742F64"/>
    <w:rsid w:val="0074418B"/>
    <w:rsid w:val="00787A19"/>
    <w:rsid w:val="007922CD"/>
    <w:rsid w:val="0079661A"/>
    <w:rsid w:val="0079746F"/>
    <w:rsid w:val="007979B9"/>
    <w:rsid w:val="007A5E8F"/>
    <w:rsid w:val="007A7AEB"/>
    <w:rsid w:val="007B0A8F"/>
    <w:rsid w:val="007B5B10"/>
    <w:rsid w:val="007D2E35"/>
    <w:rsid w:val="007F1A5B"/>
    <w:rsid w:val="0084356E"/>
    <w:rsid w:val="00843BDC"/>
    <w:rsid w:val="00844063"/>
    <w:rsid w:val="00845F1C"/>
    <w:rsid w:val="008A1858"/>
    <w:rsid w:val="008A6383"/>
    <w:rsid w:val="008C4B2C"/>
    <w:rsid w:val="008E060D"/>
    <w:rsid w:val="008E3FA8"/>
    <w:rsid w:val="008E6ACF"/>
    <w:rsid w:val="008F781A"/>
    <w:rsid w:val="00902434"/>
    <w:rsid w:val="00935560"/>
    <w:rsid w:val="009464E8"/>
    <w:rsid w:val="009605B7"/>
    <w:rsid w:val="009C43BE"/>
    <w:rsid w:val="009C5644"/>
    <w:rsid w:val="009D6A27"/>
    <w:rsid w:val="009D71F5"/>
    <w:rsid w:val="009E4189"/>
    <w:rsid w:val="009E4E76"/>
    <w:rsid w:val="009F0295"/>
    <w:rsid w:val="009F0503"/>
    <w:rsid w:val="00A00ED1"/>
    <w:rsid w:val="00A011DC"/>
    <w:rsid w:val="00A10DCE"/>
    <w:rsid w:val="00A14124"/>
    <w:rsid w:val="00A15184"/>
    <w:rsid w:val="00A2716D"/>
    <w:rsid w:val="00A33862"/>
    <w:rsid w:val="00A456DF"/>
    <w:rsid w:val="00A50793"/>
    <w:rsid w:val="00A570A5"/>
    <w:rsid w:val="00A6137E"/>
    <w:rsid w:val="00A644A5"/>
    <w:rsid w:val="00A6759F"/>
    <w:rsid w:val="00A80D07"/>
    <w:rsid w:val="00A97087"/>
    <w:rsid w:val="00AA4354"/>
    <w:rsid w:val="00AD382E"/>
    <w:rsid w:val="00AE42B7"/>
    <w:rsid w:val="00B01036"/>
    <w:rsid w:val="00B16B04"/>
    <w:rsid w:val="00B40D7C"/>
    <w:rsid w:val="00B53B2F"/>
    <w:rsid w:val="00B658DF"/>
    <w:rsid w:val="00BA09D3"/>
    <w:rsid w:val="00BB0EA6"/>
    <w:rsid w:val="00BC3AD3"/>
    <w:rsid w:val="00BD5C95"/>
    <w:rsid w:val="00BF0208"/>
    <w:rsid w:val="00BF6024"/>
    <w:rsid w:val="00C17B13"/>
    <w:rsid w:val="00C306A8"/>
    <w:rsid w:val="00C40598"/>
    <w:rsid w:val="00C61C6B"/>
    <w:rsid w:val="00C73C5B"/>
    <w:rsid w:val="00C9159D"/>
    <w:rsid w:val="00CA3E59"/>
    <w:rsid w:val="00CB5A4B"/>
    <w:rsid w:val="00CC2270"/>
    <w:rsid w:val="00CC4B6F"/>
    <w:rsid w:val="00CC563B"/>
    <w:rsid w:val="00CD0F7D"/>
    <w:rsid w:val="00CD3D37"/>
    <w:rsid w:val="00D012DA"/>
    <w:rsid w:val="00D26F21"/>
    <w:rsid w:val="00D32AA8"/>
    <w:rsid w:val="00D37DA3"/>
    <w:rsid w:val="00D44E75"/>
    <w:rsid w:val="00D5418F"/>
    <w:rsid w:val="00D85FA8"/>
    <w:rsid w:val="00D96BF4"/>
    <w:rsid w:val="00DA3384"/>
    <w:rsid w:val="00DB1140"/>
    <w:rsid w:val="00DD5E57"/>
    <w:rsid w:val="00DD65F3"/>
    <w:rsid w:val="00DE37FE"/>
    <w:rsid w:val="00DE6851"/>
    <w:rsid w:val="00E044B6"/>
    <w:rsid w:val="00E364A8"/>
    <w:rsid w:val="00E447FC"/>
    <w:rsid w:val="00E45442"/>
    <w:rsid w:val="00E627B9"/>
    <w:rsid w:val="00E7207E"/>
    <w:rsid w:val="00E75A94"/>
    <w:rsid w:val="00E77A11"/>
    <w:rsid w:val="00E84C82"/>
    <w:rsid w:val="00E8551B"/>
    <w:rsid w:val="00EA525E"/>
    <w:rsid w:val="00EB15ED"/>
    <w:rsid w:val="00EB2FE2"/>
    <w:rsid w:val="00EC1C77"/>
    <w:rsid w:val="00EC7B19"/>
    <w:rsid w:val="00EE161D"/>
    <w:rsid w:val="00F03213"/>
    <w:rsid w:val="00F070D1"/>
    <w:rsid w:val="00F128FD"/>
    <w:rsid w:val="00F1510C"/>
    <w:rsid w:val="00F16C35"/>
    <w:rsid w:val="00F21A47"/>
    <w:rsid w:val="00F21B76"/>
    <w:rsid w:val="00F2523A"/>
    <w:rsid w:val="00F45163"/>
    <w:rsid w:val="00F47749"/>
    <w:rsid w:val="00F56C3C"/>
    <w:rsid w:val="00F56C6B"/>
    <w:rsid w:val="00F706D3"/>
    <w:rsid w:val="00F729D1"/>
    <w:rsid w:val="00FC3921"/>
    <w:rsid w:val="00FD6C0D"/>
    <w:rsid w:val="00FD7B7E"/>
    <w:rsid w:val="00FE60C5"/>
    <w:rsid w:val="01A13E2F"/>
    <w:rsid w:val="21EA793B"/>
    <w:rsid w:val="4E1047D3"/>
    <w:rsid w:val="5DF01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A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B0A8F"/>
    <w:rPr>
      <w:rFonts w:ascii="Arial" w:eastAsia="黑体" w:hAnsi="Arial" w:cs="Arial"/>
      <w:sz w:val="20"/>
      <w:szCs w:val="20"/>
    </w:rPr>
  </w:style>
  <w:style w:type="paragraph" w:styleId="a4">
    <w:name w:val="footer"/>
    <w:basedOn w:val="a"/>
    <w:qFormat/>
    <w:rsid w:val="007B0A8F"/>
    <w:pPr>
      <w:tabs>
        <w:tab w:val="center" w:pos="4153"/>
        <w:tab w:val="right" w:pos="8306"/>
      </w:tabs>
      <w:snapToGrid w:val="0"/>
      <w:jc w:val="left"/>
    </w:pPr>
    <w:rPr>
      <w:sz w:val="18"/>
      <w:szCs w:val="18"/>
    </w:rPr>
  </w:style>
  <w:style w:type="paragraph" w:styleId="a5">
    <w:name w:val="header"/>
    <w:basedOn w:val="a"/>
    <w:qFormat/>
    <w:rsid w:val="007B0A8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B0A8F"/>
    <w:pPr>
      <w:widowControl/>
      <w:spacing w:before="100" w:beforeAutospacing="1" w:after="100" w:afterAutospacing="1"/>
      <w:jc w:val="left"/>
    </w:pPr>
    <w:rPr>
      <w:rFonts w:ascii="宋体" w:hAnsi="宋体" w:cs="宋体"/>
      <w:kern w:val="0"/>
      <w:sz w:val="24"/>
    </w:rPr>
  </w:style>
  <w:style w:type="character" w:styleId="a7">
    <w:name w:val="Strong"/>
    <w:qFormat/>
    <w:rsid w:val="007B0A8F"/>
    <w:rPr>
      <w:b/>
      <w:bCs/>
    </w:rPr>
  </w:style>
  <w:style w:type="character" w:styleId="a8">
    <w:name w:val="page number"/>
    <w:basedOn w:val="a0"/>
    <w:qFormat/>
    <w:rsid w:val="007B0A8F"/>
  </w:style>
  <w:style w:type="character" w:customStyle="1" w:styleId="apple-converted-space">
    <w:name w:val="apple-converted-space"/>
    <w:basedOn w:val="a0"/>
    <w:rsid w:val="007B0A8F"/>
  </w:style>
  <w:style w:type="paragraph" w:styleId="a9">
    <w:name w:val="List Paragraph"/>
    <w:basedOn w:val="a"/>
    <w:uiPriority w:val="99"/>
    <w:unhideWhenUsed/>
    <w:rsid w:val="00D26F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411</Words>
  <Characters>2348</Characters>
  <Application>Microsoft Office Word</Application>
  <DocSecurity>0</DocSecurity>
  <Lines>19</Lines>
  <Paragraphs>5</Paragraphs>
  <ScaleCrop>false</ScaleCrop>
  <Company>微软中国</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zxh</dc:creator>
  <cp:lastModifiedBy>Administrator</cp:lastModifiedBy>
  <cp:revision>30</cp:revision>
  <cp:lastPrinted>2019-03-18T02:27:00Z</cp:lastPrinted>
  <dcterms:created xsi:type="dcterms:W3CDTF">2012-02-25T07:45:00Z</dcterms:created>
  <dcterms:modified xsi:type="dcterms:W3CDTF">2019-07-08T06:42:00Z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