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7F" w:rsidRPr="006557EF" w:rsidRDefault="00966F7F" w:rsidP="0083565E">
      <w:pPr>
        <w:spacing w:beforeLines="50" w:before="180" w:afterLines="50" w:after="180" w:line="400" w:lineRule="exact"/>
        <w:jc w:val="center"/>
        <w:rPr>
          <w:rFonts w:ascii="宋体" w:hAnsi="宋体"/>
          <w:bCs/>
          <w:iCs/>
          <w:color w:val="000000"/>
          <w:sz w:val="24"/>
        </w:rPr>
      </w:pPr>
      <w:r w:rsidRPr="006557EF">
        <w:rPr>
          <w:rFonts w:ascii="宋体" w:hAnsi="宋体" w:hint="eastAsia"/>
          <w:bCs/>
          <w:iCs/>
          <w:color w:val="000000"/>
          <w:sz w:val="24"/>
        </w:rPr>
        <w:t>证券代码：000031                        证券简称：</w:t>
      </w:r>
      <w:r w:rsidR="00743FE6" w:rsidRPr="006557EF">
        <w:rPr>
          <w:rFonts w:ascii="宋体" w:hAnsi="宋体" w:hint="eastAsia"/>
          <w:bCs/>
          <w:iCs/>
          <w:color w:val="000000"/>
          <w:sz w:val="24"/>
        </w:rPr>
        <w:t>大悦城</w:t>
      </w:r>
    </w:p>
    <w:p w:rsidR="00966F7F" w:rsidRPr="006557EF" w:rsidRDefault="00743FE6" w:rsidP="0083565E">
      <w:pPr>
        <w:spacing w:beforeLines="50" w:before="180" w:afterLines="50" w:after="180" w:line="400" w:lineRule="exact"/>
        <w:jc w:val="center"/>
        <w:rPr>
          <w:rFonts w:ascii="黑体" w:eastAsia="黑体" w:hAnsi="黑体"/>
          <w:bCs/>
          <w:iCs/>
          <w:color w:val="000000"/>
          <w:sz w:val="28"/>
          <w:szCs w:val="28"/>
        </w:rPr>
      </w:pPr>
      <w:r w:rsidRPr="006557EF">
        <w:rPr>
          <w:rFonts w:ascii="黑体" w:eastAsia="黑体" w:hAnsi="黑体" w:hint="eastAsia"/>
          <w:bCs/>
          <w:iCs/>
          <w:color w:val="000000"/>
          <w:sz w:val="28"/>
          <w:szCs w:val="28"/>
        </w:rPr>
        <w:t>大悦城控股集团股份有限公司</w:t>
      </w:r>
      <w:r w:rsidR="00966F7F" w:rsidRPr="006557EF">
        <w:rPr>
          <w:rFonts w:ascii="黑体" w:eastAsia="黑体" w:hAnsi="黑体" w:hint="eastAsia"/>
          <w:bCs/>
          <w:iCs/>
          <w:color w:val="000000"/>
          <w:sz w:val="28"/>
          <w:szCs w:val="28"/>
        </w:rPr>
        <w:t>投资者关系活动记录表</w:t>
      </w:r>
    </w:p>
    <w:p w:rsidR="00966F7F" w:rsidRPr="006557EF" w:rsidRDefault="00966F7F" w:rsidP="00E45CCD">
      <w:pPr>
        <w:spacing w:line="400" w:lineRule="exact"/>
        <w:jc w:val="right"/>
        <w:rPr>
          <w:rFonts w:ascii="宋体" w:hAnsi="宋体"/>
          <w:bCs/>
          <w:iCs/>
          <w:color w:val="000000"/>
          <w:sz w:val="24"/>
        </w:rPr>
      </w:pPr>
      <w:r w:rsidRPr="006557EF">
        <w:rPr>
          <w:rFonts w:ascii="宋体" w:hAnsi="宋体" w:hint="eastAsia"/>
          <w:bCs/>
          <w:iCs/>
          <w:color w:val="000000"/>
          <w:sz w:val="24"/>
        </w:rPr>
        <w:t>编号：</w:t>
      </w:r>
      <w:r w:rsidR="002F38E0" w:rsidRPr="006557EF">
        <w:rPr>
          <w:rFonts w:ascii="宋体" w:hAnsi="宋体" w:hint="eastAsia"/>
          <w:bCs/>
          <w:iCs/>
          <w:color w:val="000000"/>
          <w:sz w:val="24"/>
        </w:rPr>
        <w:t>201</w:t>
      </w:r>
      <w:r w:rsidR="006C0CAF" w:rsidRPr="006557EF">
        <w:rPr>
          <w:rFonts w:ascii="宋体" w:hAnsi="宋体"/>
          <w:bCs/>
          <w:iCs/>
          <w:color w:val="000000"/>
          <w:sz w:val="24"/>
        </w:rPr>
        <w:t>9</w:t>
      </w:r>
      <w:r w:rsidR="00951E64" w:rsidRPr="006557EF">
        <w:rPr>
          <w:rFonts w:ascii="宋体" w:hAnsi="宋体" w:hint="eastAsia"/>
          <w:bCs/>
          <w:iCs/>
          <w:color w:val="000000"/>
          <w:sz w:val="24"/>
        </w:rPr>
        <w:t>-</w:t>
      </w:r>
      <w:r w:rsidR="00BD21BB" w:rsidRPr="006557EF">
        <w:rPr>
          <w:rFonts w:ascii="宋体" w:hAnsi="宋体" w:hint="eastAsia"/>
          <w:bCs/>
          <w:iCs/>
          <w:color w:val="000000"/>
          <w:sz w:val="24"/>
        </w:rPr>
        <w:t>00</w:t>
      </w:r>
      <w:r w:rsidR="00BD21BB">
        <w:rPr>
          <w:rFonts w:ascii="宋体" w:hAnsi="宋体"/>
          <w:bCs/>
          <w:iCs/>
          <w:color w:val="000000"/>
          <w:sz w:val="24"/>
        </w:rPr>
        <w:t>4</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229"/>
      </w:tblGrid>
      <w:tr w:rsidR="00966F7F" w:rsidRPr="00BD21BB"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FA0B97" w:rsidP="001A08BA">
            <w:pPr>
              <w:spacing w:line="480" w:lineRule="atLeast"/>
              <w:rPr>
                <w:rFonts w:ascii="宋体" w:hAnsi="宋体"/>
                <w:bCs/>
                <w:iCs/>
                <w:color w:val="000000"/>
                <w:sz w:val="24"/>
              </w:rPr>
            </w:pPr>
            <w:r w:rsidRPr="006557EF">
              <w:rPr>
                <w:rFonts w:ascii="宋体" w:hAnsi="宋体" w:hint="eastAsia"/>
                <w:bCs/>
                <w:iCs/>
                <w:color w:val="000000"/>
                <w:sz w:val="24"/>
              </w:rPr>
              <w:t>√</w:t>
            </w:r>
            <w:r w:rsidR="00966F7F" w:rsidRPr="006557EF">
              <w:rPr>
                <w:rFonts w:ascii="宋体" w:hAnsi="宋体" w:hint="eastAsia"/>
                <w:sz w:val="24"/>
              </w:rPr>
              <w:t xml:space="preserve">特定对象调研        </w:t>
            </w:r>
            <w:r w:rsidR="00966F7F" w:rsidRPr="006557EF">
              <w:rPr>
                <w:rFonts w:ascii="宋体" w:hAnsi="宋体" w:hint="eastAsia"/>
                <w:bCs/>
                <w:iCs/>
                <w:color w:val="000000"/>
                <w:sz w:val="24"/>
              </w:rPr>
              <w:t>□</w:t>
            </w:r>
            <w:r w:rsidR="00966F7F" w:rsidRPr="006557EF">
              <w:rPr>
                <w:rFonts w:ascii="宋体" w:hAnsi="宋体" w:hint="eastAsia"/>
                <w:sz w:val="24"/>
              </w:rPr>
              <w:t>分析师会议</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媒体采访            </w:t>
            </w:r>
            <w:r w:rsidRPr="006557EF">
              <w:rPr>
                <w:rFonts w:ascii="宋体" w:hAnsi="宋体" w:hint="eastAsia"/>
                <w:bCs/>
                <w:iCs/>
                <w:color w:val="000000"/>
                <w:sz w:val="24"/>
              </w:rPr>
              <w:t>□</w:t>
            </w:r>
            <w:r w:rsidRPr="006557EF">
              <w:rPr>
                <w:rFonts w:ascii="宋体" w:hAnsi="宋体" w:hint="eastAsia"/>
                <w:sz w:val="24"/>
              </w:rPr>
              <w:t>业绩说明会</w:t>
            </w:r>
          </w:p>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 xml:space="preserve">新闻发布会          </w:t>
            </w:r>
            <w:r w:rsidR="00FA0B97" w:rsidRPr="006557EF">
              <w:rPr>
                <w:rFonts w:ascii="宋体" w:hAnsi="宋体" w:hint="eastAsia"/>
                <w:bCs/>
                <w:iCs/>
                <w:color w:val="000000"/>
                <w:sz w:val="24"/>
              </w:rPr>
              <w:t>□</w:t>
            </w:r>
            <w:r w:rsidRPr="006557EF">
              <w:rPr>
                <w:rFonts w:ascii="宋体" w:hAnsi="宋体" w:hint="eastAsia"/>
                <w:sz w:val="24"/>
              </w:rPr>
              <w:t>路演活动</w:t>
            </w:r>
          </w:p>
          <w:p w:rsidR="00966F7F" w:rsidRPr="006557EF" w:rsidRDefault="00966F7F" w:rsidP="001A08BA">
            <w:pPr>
              <w:tabs>
                <w:tab w:val="left" w:pos="3045"/>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现场参观</w:t>
            </w:r>
            <w:r w:rsidRPr="006557EF">
              <w:rPr>
                <w:rFonts w:ascii="宋体" w:hAnsi="宋体" w:hint="eastAsia"/>
                <w:bCs/>
                <w:iCs/>
                <w:color w:val="000000"/>
                <w:sz w:val="24"/>
              </w:rPr>
              <w:tab/>
            </w:r>
          </w:p>
          <w:p w:rsidR="00966F7F" w:rsidRPr="006557EF" w:rsidRDefault="00966F7F" w:rsidP="001A08BA">
            <w:pPr>
              <w:tabs>
                <w:tab w:val="center" w:pos="3199"/>
              </w:tabs>
              <w:spacing w:line="480" w:lineRule="atLeast"/>
              <w:rPr>
                <w:rFonts w:ascii="宋体" w:hAnsi="宋体"/>
                <w:bCs/>
                <w:iCs/>
                <w:color w:val="000000"/>
                <w:sz w:val="24"/>
              </w:rPr>
            </w:pPr>
            <w:r w:rsidRPr="006557EF">
              <w:rPr>
                <w:rFonts w:ascii="宋体" w:hAnsi="宋体" w:hint="eastAsia"/>
                <w:bCs/>
                <w:iCs/>
                <w:color w:val="000000"/>
                <w:sz w:val="24"/>
              </w:rPr>
              <w:t>□</w:t>
            </w:r>
            <w:r w:rsidRPr="006557EF">
              <w:rPr>
                <w:rFonts w:ascii="宋体" w:hAnsi="宋体" w:hint="eastAsia"/>
                <w:sz w:val="24"/>
              </w:rPr>
              <w:t>其他 （</w:t>
            </w:r>
            <w:proofErr w:type="gramStart"/>
            <w:r w:rsidRPr="006557EF">
              <w:rPr>
                <w:rFonts w:ascii="宋体" w:hAnsi="宋体" w:hint="eastAsia"/>
                <w:sz w:val="24"/>
                <w:u w:val="single"/>
              </w:rPr>
              <w:t>请文字</w:t>
            </w:r>
            <w:proofErr w:type="gramEnd"/>
            <w:r w:rsidRPr="006557EF">
              <w:rPr>
                <w:rFonts w:ascii="宋体" w:hAnsi="宋体" w:hint="eastAsia"/>
                <w:sz w:val="24"/>
                <w:u w:val="single"/>
              </w:rPr>
              <w:t>说明其他活动内容）</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C36C29" w:rsidRPr="005A1C71" w:rsidRDefault="005D100F" w:rsidP="00B952A1">
            <w:pPr>
              <w:spacing w:line="360" w:lineRule="auto"/>
              <w:rPr>
                <w:rFonts w:ascii="宋体" w:hAnsi="宋体"/>
                <w:bCs/>
                <w:iCs/>
                <w:color w:val="000000"/>
                <w:sz w:val="24"/>
              </w:rPr>
            </w:pPr>
            <w:r>
              <w:rPr>
                <w:rFonts w:ascii="宋体" w:hAnsi="宋体" w:hint="eastAsia"/>
                <w:bCs/>
                <w:iCs/>
                <w:color w:val="000000"/>
                <w:sz w:val="24"/>
              </w:rPr>
              <w:t>东方证券</w:t>
            </w:r>
            <w:r w:rsidR="005A1C71">
              <w:rPr>
                <w:rFonts w:ascii="宋体" w:hAnsi="宋体" w:hint="eastAsia"/>
                <w:bCs/>
                <w:iCs/>
                <w:color w:val="000000"/>
                <w:sz w:val="24"/>
              </w:rPr>
              <w:t xml:space="preserve"> </w:t>
            </w:r>
            <w:proofErr w:type="gramStart"/>
            <w:r>
              <w:rPr>
                <w:rFonts w:ascii="宋体" w:hAnsi="宋体" w:hint="eastAsia"/>
                <w:bCs/>
                <w:iCs/>
                <w:color w:val="000000"/>
                <w:sz w:val="24"/>
              </w:rPr>
              <w:t>竺</w:t>
            </w:r>
            <w:proofErr w:type="gramEnd"/>
            <w:r>
              <w:rPr>
                <w:rFonts w:ascii="宋体" w:hAnsi="宋体" w:hint="eastAsia"/>
                <w:bCs/>
                <w:iCs/>
                <w:color w:val="000000"/>
                <w:sz w:val="24"/>
              </w:rPr>
              <w:t>劲、</w:t>
            </w:r>
            <w:r>
              <w:rPr>
                <w:rFonts w:ascii="宋体" w:hAnsi="宋体"/>
                <w:bCs/>
                <w:iCs/>
                <w:color w:val="000000"/>
                <w:sz w:val="24"/>
              </w:rPr>
              <w:t>马晓东</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0F3A3D">
            <w:pPr>
              <w:spacing w:line="360" w:lineRule="auto"/>
              <w:rPr>
                <w:rFonts w:ascii="宋体" w:hAnsi="宋体"/>
                <w:bCs/>
                <w:iCs/>
                <w:color w:val="000000"/>
                <w:sz w:val="24"/>
              </w:rPr>
            </w:pPr>
            <w:r w:rsidRPr="006557EF">
              <w:rPr>
                <w:rFonts w:ascii="宋体" w:hAnsi="宋体" w:hint="eastAsia"/>
                <w:bCs/>
                <w:iCs/>
                <w:color w:val="000000"/>
                <w:sz w:val="24"/>
              </w:rPr>
              <w:t>201</w:t>
            </w:r>
            <w:r w:rsidR="006C0CAF" w:rsidRPr="006557EF">
              <w:rPr>
                <w:rFonts w:ascii="宋体" w:hAnsi="宋体" w:hint="eastAsia"/>
                <w:bCs/>
                <w:iCs/>
                <w:color w:val="000000"/>
                <w:sz w:val="24"/>
              </w:rPr>
              <w:t>9</w:t>
            </w:r>
            <w:r w:rsidRPr="006557EF">
              <w:rPr>
                <w:rFonts w:ascii="宋体" w:hAnsi="宋体" w:hint="eastAsia"/>
                <w:bCs/>
                <w:iCs/>
                <w:color w:val="000000"/>
                <w:sz w:val="24"/>
              </w:rPr>
              <w:t>.</w:t>
            </w:r>
            <w:r w:rsidR="00BD21BB">
              <w:rPr>
                <w:rFonts w:ascii="宋体" w:hAnsi="宋体" w:hint="eastAsia"/>
                <w:bCs/>
                <w:iCs/>
                <w:color w:val="000000"/>
                <w:sz w:val="24"/>
              </w:rPr>
              <w:t>0</w:t>
            </w:r>
            <w:r w:rsidR="00BD21BB">
              <w:rPr>
                <w:rFonts w:ascii="宋体" w:hAnsi="宋体"/>
                <w:bCs/>
                <w:iCs/>
                <w:color w:val="000000"/>
                <w:sz w:val="24"/>
              </w:rPr>
              <w:t>7</w:t>
            </w:r>
            <w:r w:rsidR="00C36C29">
              <w:rPr>
                <w:rFonts w:ascii="宋体" w:hAnsi="宋体" w:hint="eastAsia"/>
                <w:bCs/>
                <w:iCs/>
                <w:color w:val="000000"/>
                <w:sz w:val="24"/>
              </w:rPr>
              <w:t>.</w:t>
            </w:r>
            <w:r w:rsidR="00BD21BB">
              <w:rPr>
                <w:rFonts w:ascii="宋体" w:hAnsi="宋体"/>
                <w:bCs/>
                <w:iCs/>
                <w:color w:val="000000"/>
                <w:sz w:val="24"/>
              </w:rPr>
              <w:t>23</w:t>
            </w:r>
            <w:r w:rsidR="00BD21BB" w:rsidRPr="006557EF">
              <w:rPr>
                <w:rFonts w:ascii="宋体" w:hAnsi="宋体" w:hint="eastAsia"/>
                <w:bCs/>
                <w:iCs/>
                <w:color w:val="000000"/>
                <w:sz w:val="24"/>
              </w:rPr>
              <w:t xml:space="preserve">  </w:t>
            </w:r>
            <w:r w:rsidR="000F3A3D">
              <w:rPr>
                <w:rFonts w:ascii="宋体" w:hAnsi="宋体"/>
                <w:bCs/>
                <w:iCs/>
                <w:color w:val="000000"/>
                <w:sz w:val="24"/>
              </w:rPr>
              <w:t>10</w:t>
            </w:r>
            <w:r w:rsidR="003001E7" w:rsidRPr="006557EF">
              <w:rPr>
                <w:rFonts w:ascii="宋体" w:hAnsi="宋体" w:hint="eastAsia"/>
                <w:bCs/>
                <w:iCs/>
                <w:color w:val="000000"/>
                <w:sz w:val="24"/>
              </w:rPr>
              <w:t>:</w:t>
            </w:r>
            <w:r w:rsidR="000F3A3D">
              <w:rPr>
                <w:rFonts w:ascii="宋体" w:hAnsi="宋体"/>
                <w:bCs/>
                <w:iCs/>
                <w:color w:val="000000"/>
                <w:sz w:val="24"/>
              </w:rPr>
              <w:t>15</w:t>
            </w:r>
            <w:r w:rsidR="00962DAD" w:rsidRPr="006557EF">
              <w:rPr>
                <w:rFonts w:ascii="宋体" w:hAnsi="宋体" w:hint="eastAsia"/>
                <w:bCs/>
                <w:iCs/>
                <w:color w:val="000000"/>
                <w:sz w:val="24"/>
              </w:rPr>
              <w:t>-</w:t>
            </w:r>
            <w:r w:rsidR="00C36C29">
              <w:rPr>
                <w:rFonts w:ascii="宋体" w:hAnsi="宋体" w:hint="eastAsia"/>
                <w:bCs/>
                <w:iCs/>
                <w:color w:val="000000"/>
                <w:sz w:val="24"/>
              </w:rPr>
              <w:t>11</w:t>
            </w:r>
            <w:r w:rsidR="003001E7" w:rsidRPr="006557EF">
              <w:rPr>
                <w:rFonts w:ascii="宋体" w:hAnsi="宋体" w:hint="eastAsia"/>
                <w:bCs/>
                <w:iCs/>
                <w:color w:val="000000"/>
                <w:sz w:val="24"/>
              </w:rPr>
              <w:t>:</w:t>
            </w:r>
            <w:r w:rsidR="000F3A3D">
              <w:rPr>
                <w:rFonts w:ascii="宋体" w:hAnsi="宋体"/>
                <w:bCs/>
                <w:iCs/>
                <w:color w:val="000000"/>
                <w:sz w:val="24"/>
              </w:rPr>
              <w:t>3</w:t>
            </w:r>
            <w:r w:rsidR="00A75962" w:rsidRPr="006557EF">
              <w:rPr>
                <w:rFonts w:ascii="宋体" w:hAnsi="宋体" w:hint="eastAsia"/>
                <w:bCs/>
                <w:iCs/>
                <w:color w:val="000000"/>
                <w:sz w:val="24"/>
              </w:rPr>
              <w:t>0</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BD21BB" w:rsidP="000F3A3D">
            <w:pPr>
              <w:spacing w:line="360" w:lineRule="auto"/>
              <w:rPr>
                <w:rFonts w:ascii="宋体" w:hAnsi="宋体"/>
                <w:bCs/>
                <w:iCs/>
                <w:color w:val="000000"/>
                <w:sz w:val="24"/>
              </w:rPr>
            </w:pPr>
            <w:r w:rsidRPr="006557EF">
              <w:rPr>
                <w:rFonts w:ascii="宋体" w:hAnsi="宋体" w:hint="eastAsia"/>
                <w:bCs/>
                <w:iCs/>
                <w:color w:val="000000"/>
                <w:sz w:val="24"/>
              </w:rPr>
              <w:t>北京市福临</w:t>
            </w:r>
            <w:proofErr w:type="gramStart"/>
            <w:r w:rsidRPr="006557EF">
              <w:rPr>
                <w:rFonts w:ascii="宋体" w:hAnsi="宋体" w:hint="eastAsia"/>
                <w:bCs/>
                <w:iCs/>
                <w:color w:val="000000"/>
                <w:sz w:val="24"/>
              </w:rPr>
              <w:t>门大厦</w:t>
            </w:r>
            <w:proofErr w:type="gramEnd"/>
            <w:r w:rsidRPr="006557EF">
              <w:rPr>
                <w:rFonts w:ascii="宋体" w:hAnsi="宋体" w:hint="eastAsia"/>
                <w:bCs/>
                <w:iCs/>
                <w:color w:val="000000"/>
                <w:sz w:val="24"/>
              </w:rPr>
              <w:t>13层130</w:t>
            </w:r>
            <w:r w:rsidR="000F3A3D">
              <w:rPr>
                <w:rFonts w:ascii="宋体" w:hAnsi="宋体"/>
                <w:bCs/>
                <w:iCs/>
                <w:color w:val="000000"/>
                <w:sz w:val="24"/>
              </w:rPr>
              <w:t>8</w:t>
            </w:r>
            <w:r w:rsidRPr="006557EF">
              <w:rPr>
                <w:rFonts w:ascii="宋体" w:hAnsi="宋体" w:hint="eastAsia"/>
                <w:bCs/>
                <w:iCs/>
                <w:color w:val="000000"/>
                <w:sz w:val="24"/>
              </w:rPr>
              <w:t>会议室</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6831C9">
            <w:pPr>
              <w:spacing w:line="276" w:lineRule="auto"/>
              <w:rPr>
                <w:rFonts w:ascii="宋体" w:hAnsi="宋体"/>
                <w:b/>
                <w:bCs/>
                <w:iCs/>
                <w:color w:val="000000"/>
                <w:sz w:val="24"/>
              </w:rPr>
            </w:pPr>
            <w:r w:rsidRPr="006557EF">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5D100F" w:rsidRDefault="005D100F" w:rsidP="00621A43">
            <w:pPr>
              <w:spacing w:line="360" w:lineRule="auto"/>
              <w:rPr>
                <w:rFonts w:ascii="宋体" w:hAnsi="宋体"/>
                <w:bCs/>
                <w:iCs/>
                <w:color w:val="000000"/>
                <w:sz w:val="24"/>
              </w:rPr>
            </w:pPr>
            <w:r>
              <w:rPr>
                <w:rFonts w:ascii="宋体" w:hAnsi="宋体" w:hint="eastAsia"/>
                <w:bCs/>
                <w:iCs/>
                <w:color w:val="000000"/>
                <w:sz w:val="24"/>
              </w:rPr>
              <w:t>总会计师</w:t>
            </w:r>
            <w:r>
              <w:rPr>
                <w:rFonts w:ascii="宋体" w:hAnsi="宋体"/>
                <w:bCs/>
                <w:iCs/>
                <w:color w:val="000000"/>
                <w:sz w:val="24"/>
              </w:rPr>
              <w:t>（</w:t>
            </w:r>
            <w:r>
              <w:rPr>
                <w:rFonts w:ascii="宋体" w:hAnsi="宋体" w:hint="eastAsia"/>
                <w:bCs/>
                <w:iCs/>
                <w:color w:val="000000"/>
                <w:sz w:val="24"/>
              </w:rPr>
              <w:t>财务</w:t>
            </w:r>
            <w:r>
              <w:rPr>
                <w:rFonts w:ascii="宋体" w:hAnsi="宋体"/>
                <w:bCs/>
                <w:iCs/>
                <w:color w:val="000000"/>
                <w:sz w:val="24"/>
              </w:rPr>
              <w:t>负责人）</w:t>
            </w:r>
            <w:r>
              <w:rPr>
                <w:rFonts w:ascii="宋体" w:hAnsi="宋体" w:hint="eastAsia"/>
                <w:bCs/>
                <w:iCs/>
                <w:color w:val="000000"/>
                <w:sz w:val="24"/>
              </w:rPr>
              <w:t xml:space="preserve">             许汉平</w:t>
            </w:r>
          </w:p>
          <w:p w:rsidR="005D100F" w:rsidRDefault="005D100F" w:rsidP="00621A43">
            <w:pPr>
              <w:spacing w:line="360" w:lineRule="auto"/>
              <w:rPr>
                <w:rFonts w:ascii="宋体" w:hAnsi="宋体"/>
                <w:bCs/>
                <w:iCs/>
                <w:color w:val="000000"/>
                <w:sz w:val="24"/>
              </w:rPr>
            </w:pPr>
            <w:r>
              <w:rPr>
                <w:rFonts w:ascii="宋体" w:hAnsi="宋体" w:hint="eastAsia"/>
                <w:bCs/>
                <w:iCs/>
                <w:color w:val="000000"/>
                <w:sz w:val="24"/>
              </w:rPr>
              <w:t>总法律顾问、</w:t>
            </w:r>
            <w:r>
              <w:rPr>
                <w:rFonts w:ascii="宋体" w:hAnsi="宋体"/>
                <w:bCs/>
                <w:iCs/>
                <w:color w:val="000000"/>
                <w:sz w:val="24"/>
              </w:rPr>
              <w:t>董事会秘书</w:t>
            </w:r>
            <w:r>
              <w:rPr>
                <w:rFonts w:ascii="宋体" w:hAnsi="宋体" w:hint="eastAsia"/>
                <w:bCs/>
                <w:iCs/>
                <w:color w:val="000000"/>
                <w:sz w:val="24"/>
              </w:rPr>
              <w:t xml:space="preserve">             宋冰心</w:t>
            </w:r>
          </w:p>
          <w:p w:rsidR="005D100F" w:rsidRDefault="005D100F" w:rsidP="00621A43">
            <w:pPr>
              <w:spacing w:line="360" w:lineRule="auto"/>
              <w:rPr>
                <w:rFonts w:ascii="宋体" w:hAnsi="宋体"/>
                <w:bCs/>
                <w:iCs/>
                <w:color w:val="000000"/>
                <w:sz w:val="24"/>
              </w:rPr>
            </w:pPr>
            <w:r>
              <w:rPr>
                <w:rFonts w:ascii="宋体" w:hAnsi="宋体" w:hint="eastAsia"/>
                <w:bCs/>
                <w:iCs/>
                <w:color w:val="000000"/>
                <w:sz w:val="24"/>
              </w:rPr>
              <w:t>战略投资部</w:t>
            </w:r>
            <w:r>
              <w:rPr>
                <w:rFonts w:ascii="宋体" w:hAnsi="宋体"/>
                <w:bCs/>
                <w:iCs/>
                <w:color w:val="000000"/>
                <w:sz w:val="24"/>
              </w:rPr>
              <w:t>总经理</w:t>
            </w:r>
            <w:r>
              <w:rPr>
                <w:rFonts w:ascii="宋体" w:hAnsi="宋体" w:hint="eastAsia"/>
                <w:bCs/>
                <w:iCs/>
                <w:color w:val="000000"/>
                <w:sz w:val="24"/>
              </w:rPr>
              <w:t xml:space="preserve">                   魏学问</w:t>
            </w:r>
          </w:p>
          <w:p w:rsidR="004356C4" w:rsidRDefault="004356C4" w:rsidP="004356C4">
            <w:pPr>
              <w:spacing w:line="360" w:lineRule="auto"/>
              <w:rPr>
                <w:rFonts w:ascii="宋体" w:hAnsi="宋体"/>
                <w:bCs/>
                <w:iCs/>
                <w:color w:val="000000"/>
                <w:sz w:val="24"/>
              </w:rPr>
            </w:pPr>
            <w:r>
              <w:rPr>
                <w:rFonts w:ascii="宋体" w:hAnsi="宋体" w:hint="eastAsia"/>
                <w:bCs/>
                <w:iCs/>
                <w:color w:val="000000"/>
                <w:sz w:val="24"/>
              </w:rPr>
              <w:t>商业</w:t>
            </w:r>
            <w:r w:rsidR="005D100F">
              <w:rPr>
                <w:rFonts w:ascii="宋体" w:hAnsi="宋体" w:hint="eastAsia"/>
                <w:bCs/>
                <w:iCs/>
                <w:color w:val="000000"/>
                <w:sz w:val="24"/>
              </w:rPr>
              <w:t>管理</w:t>
            </w:r>
            <w:r w:rsidR="005D100F">
              <w:rPr>
                <w:rFonts w:ascii="宋体" w:hAnsi="宋体"/>
                <w:bCs/>
                <w:iCs/>
                <w:color w:val="000000"/>
                <w:sz w:val="24"/>
              </w:rPr>
              <w:t>中</w:t>
            </w:r>
            <w:r w:rsidR="005D100F">
              <w:rPr>
                <w:rFonts w:ascii="宋体" w:hAnsi="宋体" w:hint="eastAsia"/>
                <w:bCs/>
                <w:iCs/>
                <w:color w:val="000000"/>
                <w:sz w:val="24"/>
              </w:rPr>
              <w:t>心</w:t>
            </w:r>
            <w:r>
              <w:rPr>
                <w:rFonts w:ascii="宋体" w:hAnsi="宋体" w:hint="eastAsia"/>
                <w:bCs/>
                <w:iCs/>
                <w:color w:val="000000"/>
                <w:sz w:val="24"/>
              </w:rPr>
              <w:t xml:space="preserve">副总经理               </w:t>
            </w:r>
            <w:r w:rsidR="005D100F">
              <w:rPr>
                <w:rFonts w:ascii="宋体" w:hAnsi="宋体" w:hint="eastAsia"/>
                <w:bCs/>
                <w:iCs/>
                <w:color w:val="000000"/>
                <w:sz w:val="24"/>
              </w:rPr>
              <w:t>徐</w:t>
            </w:r>
            <w:r w:rsidR="00BD21BB">
              <w:rPr>
                <w:rFonts w:ascii="宋体" w:hAnsi="宋体" w:hint="eastAsia"/>
                <w:bCs/>
                <w:iCs/>
                <w:color w:val="000000"/>
                <w:sz w:val="24"/>
              </w:rPr>
              <w:t xml:space="preserve">  </w:t>
            </w:r>
            <w:proofErr w:type="gramStart"/>
            <w:r w:rsidR="005D100F">
              <w:rPr>
                <w:rFonts w:ascii="宋体" w:hAnsi="宋体" w:hint="eastAsia"/>
                <w:bCs/>
                <w:iCs/>
                <w:color w:val="000000"/>
                <w:sz w:val="24"/>
              </w:rPr>
              <w:t>蓁</w:t>
            </w:r>
            <w:proofErr w:type="gramEnd"/>
          </w:p>
          <w:p w:rsidR="005D100F" w:rsidRPr="005D100F" w:rsidRDefault="004356C4" w:rsidP="004356C4">
            <w:pPr>
              <w:spacing w:line="360" w:lineRule="auto"/>
              <w:rPr>
                <w:rFonts w:ascii="宋体" w:hAnsi="宋体"/>
                <w:bCs/>
                <w:iCs/>
                <w:color w:val="000000"/>
                <w:sz w:val="24"/>
              </w:rPr>
            </w:pPr>
            <w:r>
              <w:rPr>
                <w:rFonts w:ascii="宋体" w:hAnsi="宋体" w:hint="eastAsia"/>
                <w:bCs/>
                <w:iCs/>
                <w:color w:val="000000"/>
                <w:sz w:val="24"/>
              </w:rPr>
              <w:t>商业</w:t>
            </w:r>
            <w:r>
              <w:rPr>
                <w:rFonts w:ascii="宋体" w:hAnsi="宋体"/>
                <w:bCs/>
                <w:iCs/>
                <w:color w:val="000000"/>
                <w:sz w:val="24"/>
              </w:rPr>
              <w:t>管理中</w:t>
            </w:r>
            <w:r>
              <w:rPr>
                <w:rFonts w:ascii="宋体" w:hAnsi="宋体" w:hint="eastAsia"/>
                <w:bCs/>
                <w:iCs/>
                <w:color w:val="000000"/>
                <w:sz w:val="24"/>
              </w:rPr>
              <w:t xml:space="preserve">心                       </w:t>
            </w:r>
            <w:r w:rsidR="005D100F">
              <w:rPr>
                <w:rFonts w:ascii="宋体" w:hAnsi="宋体"/>
                <w:bCs/>
                <w:iCs/>
                <w:color w:val="000000"/>
                <w:sz w:val="24"/>
              </w:rPr>
              <w:t>李英伟</w:t>
            </w:r>
          </w:p>
        </w:tc>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4356C4"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1、</w:t>
            </w:r>
            <w:r>
              <w:rPr>
                <w:rFonts w:asciiTheme="majorEastAsia" w:eastAsiaTheme="majorEastAsia" w:hAnsiTheme="majorEastAsia"/>
                <w:b/>
                <w:bCs/>
                <w:iCs/>
                <w:color w:val="000000"/>
                <w:kern w:val="0"/>
                <w:sz w:val="24"/>
              </w:rPr>
              <w:t>公司战略</w:t>
            </w:r>
            <w:r>
              <w:rPr>
                <w:rFonts w:asciiTheme="majorEastAsia" w:eastAsiaTheme="majorEastAsia" w:hAnsiTheme="majorEastAsia" w:hint="eastAsia"/>
                <w:b/>
                <w:bCs/>
                <w:iCs/>
                <w:color w:val="000000"/>
                <w:kern w:val="0"/>
                <w:sz w:val="24"/>
              </w:rPr>
              <w:t>定位</w:t>
            </w:r>
            <w:r>
              <w:rPr>
                <w:rFonts w:asciiTheme="majorEastAsia" w:eastAsiaTheme="majorEastAsia" w:hAnsiTheme="majorEastAsia"/>
                <w:b/>
                <w:bCs/>
                <w:iCs/>
                <w:color w:val="000000"/>
                <w:kern w:val="0"/>
                <w:sz w:val="24"/>
              </w:rPr>
              <w:t>、产品结构、城市布局</w:t>
            </w:r>
          </w:p>
          <w:p w:rsidR="004356C4" w:rsidRPr="006557EF" w:rsidRDefault="004356C4" w:rsidP="004356C4">
            <w:pPr>
              <w:spacing w:line="360" w:lineRule="auto"/>
              <w:ind w:firstLineChars="200" w:firstLine="480"/>
              <w:jc w:val="left"/>
              <w:rPr>
                <w:rFonts w:ascii="宋体" w:hAnsi="宋体"/>
                <w:sz w:val="24"/>
              </w:rPr>
            </w:pPr>
            <w:r w:rsidRPr="006557EF">
              <w:rPr>
                <w:rFonts w:asciiTheme="minorEastAsia" w:hAnsiTheme="minorEastAsia" w:hint="eastAsia"/>
                <w:sz w:val="24"/>
              </w:rPr>
              <w:t>重大资产重组的实施完成标志着公司开启了高质量发展的新篇章。</w:t>
            </w:r>
            <w:r w:rsidRPr="006557EF">
              <w:rPr>
                <w:rFonts w:ascii="宋体" w:hAnsi="宋体" w:hint="eastAsia"/>
                <w:sz w:val="24"/>
              </w:rPr>
              <w:t>展望公司未来发展，站在国家及行业新的发展起点，公司将紧抓行业发展机遇，贯彻高质量发展理念，充分利用两个上市公司整合的优势，定位“城市运营商与美好生活服务商”的战略方向，坚持“持有</w:t>
            </w:r>
            <w:r w:rsidRPr="006557EF">
              <w:rPr>
                <w:rFonts w:ascii="宋体" w:hAnsi="宋体"/>
                <w:sz w:val="24"/>
              </w:rPr>
              <w:t>+</w:t>
            </w:r>
            <w:r w:rsidRPr="006557EF">
              <w:rPr>
                <w:rFonts w:ascii="宋体" w:hAnsi="宋体" w:hint="eastAsia"/>
                <w:sz w:val="24"/>
              </w:rPr>
              <w:t>销售</w:t>
            </w:r>
            <w:r w:rsidRPr="006557EF">
              <w:rPr>
                <w:rFonts w:ascii="宋体" w:hint="eastAsia"/>
                <w:sz w:val="24"/>
              </w:rPr>
              <w:t>”</w:t>
            </w:r>
            <w:r w:rsidRPr="006557EF">
              <w:rPr>
                <w:rFonts w:ascii="宋体" w:hAnsi="宋体" w:hint="eastAsia"/>
                <w:sz w:val="24"/>
              </w:rPr>
              <w:t>、</w:t>
            </w:r>
            <w:r w:rsidRPr="006557EF">
              <w:rPr>
                <w:rFonts w:ascii="宋体" w:hint="eastAsia"/>
                <w:sz w:val="24"/>
              </w:rPr>
              <w:t>“</w:t>
            </w:r>
            <w:r w:rsidRPr="006557EF">
              <w:rPr>
                <w:rFonts w:ascii="宋体" w:hAnsi="宋体" w:hint="eastAsia"/>
                <w:sz w:val="24"/>
              </w:rPr>
              <w:t>产品</w:t>
            </w:r>
            <w:r w:rsidRPr="006557EF">
              <w:rPr>
                <w:rFonts w:ascii="宋体" w:hAnsi="宋体"/>
                <w:sz w:val="24"/>
              </w:rPr>
              <w:t>+</w:t>
            </w:r>
            <w:r w:rsidRPr="006557EF">
              <w:rPr>
                <w:rFonts w:ascii="宋体" w:hAnsi="宋体" w:hint="eastAsia"/>
                <w:sz w:val="24"/>
              </w:rPr>
              <w:t>服务</w:t>
            </w:r>
            <w:r w:rsidRPr="006557EF">
              <w:rPr>
                <w:rFonts w:ascii="宋体" w:hint="eastAsia"/>
                <w:sz w:val="24"/>
              </w:rPr>
              <w:t>”</w:t>
            </w:r>
            <w:r w:rsidRPr="006557EF">
              <w:rPr>
                <w:rFonts w:ascii="宋体" w:hAnsi="宋体" w:hint="eastAsia"/>
                <w:sz w:val="24"/>
              </w:rPr>
              <w:t>的</w:t>
            </w:r>
            <w:proofErr w:type="gramStart"/>
            <w:r w:rsidRPr="006557EF">
              <w:rPr>
                <w:rFonts w:ascii="宋体" w:hAnsi="宋体" w:hint="eastAsia"/>
                <w:sz w:val="24"/>
              </w:rPr>
              <w:t>双轮双</w:t>
            </w:r>
            <w:proofErr w:type="gramEnd"/>
            <w:r w:rsidRPr="006557EF">
              <w:rPr>
                <w:rFonts w:ascii="宋体" w:hAnsi="宋体" w:hint="eastAsia"/>
                <w:sz w:val="24"/>
              </w:rPr>
              <w:t>核发展模式。商业地产确保领先地位，销售型业务确保稳健增长，实现行业地位稳中有升，经营回报稳中向好。坚持精准投资、科学运营、力控风险、良好回报，力争成为最</w:t>
            </w:r>
            <w:proofErr w:type="gramStart"/>
            <w:r w:rsidRPr="006557EF">
              <w:rPr>
                <w:rFonts w:ascii="宋体" w:hAnsi="宋体" w:hint="eastAsia"/>
                <w:sz w:val="24"/>
              </w:rPr>
              <w:t>具持续</w:t>
            </w:r>
            <w:proofErr w:type="gramEnd"/>
            <w:r w:rsidRPr="006557EF">
              <w:rPr>
                <w:rFonts w:ascii="宋体" w:hAnsi="宋体" w:hint="eastAsia"/>
                <w:sz w:val="24"/>
              </w:rPr>
              <w:t>发展能力的城市美好生活创造者，为城市创造永续价值，为人民创造美好幸福生活。</w:t>
            </w:r>
          </w:p>
          <w:p w:rsidR="004356C4" w:rsidRPr="006557EF" w:rsidRDefault="004356C4" w:rsidP="004356C4">
            <w:pPr>
              <w:pStyle w:val="Default"/>
              <w:spacing w:line="360" w:lineRule="auto"/>
              <w:ind w:firstLine="465"/>
              <w:jc w:val="both"/>
              <w:rPr>
                <w:b/>
              </w:rPr>
            </w:pPr>
            <w:r w:rsidRPr="006557EF">
              <w:rPr>
                <w:rFonts w:hAnsi="宋体" w:hint="eastAsia"/>
              </w:rPr>
              <w:t>目前公司已经成为</w:t>
            </w:r>
            <w:r w:rsidRPr="006557EF">
              <w:rPr>
                <w:rFonts w:hAnsi="宋体"/>
              </w:rPr>
              <w:t>中粮集团旗下融合住宅地产与商业地产一体化的全业态房地产专业化公司，既能通过开发型物业的高周转实现</w:t>
            </w:r>
            <w:r w:rsidRPr="006557EF">
              <w:rPr>
                <w:rFonts w:hAnsi="宋体"/>
              </w:rPr>
              <w:lastRenderedPageBreak/>
              <w:t>现金回流，又能分享持有型物业带来的长期稳定收益和升值红利</w:t>
            </w:r>
            <w:r w:rsidRPr="006557EF">
              <w:rPr>
                <w:rFonts w:hAnsi="宋体" w:hint="eastAsia"/>
              </w:rPr>
              <w:t>，同时公司将</w:t>
            </w:r>
            <w:r w:rsidRPr="006557EF">
              <w:rPr>
                <w:rFonts w:hAnsi="宋体"/>
              </w:rPr>
              <w:t>对品牌进行深度融合，扩大品牌的市场影响力</w:t>
            </w:r>
            <w:r w:rsidRPr="006557EF">
              <w:rPr>
                <w:rFonts w:hAnsi="宋体" w:hint="eastAsia"/>
              </w:rPr>
              <w:t>。</w:t>
            </w:r>
          </w:p>
          <w:p w:rsidR="004356C4" w:rsidRPr="006557EF" w:rsidRDefault="004356C4" w:rsidP="004356C4">
            <w:pPr>
              <w:spacing w:line="360" w:lineRule="auto"/>
              <w:ind w:firstLineChars="200" w:firstLine="480"/>
              <w:rPr>
                <w:rFonts w:ascii="宋体" w:hAnsi="宋体"/>
                <w:b/>
                <w:sz w:val="28"/>
                <w:szCs w:val="28"/>
              </w:rPr>
            </w:pPr>
            <w:r w:rsidRPr="006557EF">
              <w:rPr>
                <w:rFonts w:ascii="宋体" w:hAnsi="宋体" w:hint="eastAsia"/>
                <w:sz w:val="24"/>
              </w:rPr>
              <w:t>关于城市和区域布局。重组完成后，公司将继续以“3+X”城市群布局为主线，因城施策，重点布局京津冀、长三角、珠三角、长江中游、成渝等中国五大城市群的核心城市及周边辐射区域，在已经形成的“一线核心-二线中心-三线省域中心”分布格局基础上，以“三快两稳”投资策略为指引，</w:t>
            </w:r>
            <w:proofErr w:type="gramStart"/>
            <w:r w:rsidRPr="006557EF">
              <w:rPr>
                <w:rFonts w:ascii="宋体" w:hAnsi="宋体" w:hint="eastAsia"/>
                <w:sz w:val="24"/>
              </w:rPr>
              <w:t>快稳结合</w:t>
            </w:r>
            <w:proofErr w:type="gramEnd"/>
            <w:r w:rsidRPr="006557EF">
              <w:rPr>
                <w:rFonts w:ascii="宋体" w:hAnsi="宋体" w:hint="eastAsia"/>
                <w:sz w:val="24"/>
              </w:rPr>
              <w:t>，到2021年，在现有26个城市布局的基础上，进一步拓展至45~50个城市。</w:t>
            </w:r>
          </w:p>
          <w:p w:rsidR="004356C4" w:rsidRPr="006557EF" w:rsidRDefault="004356C4" w:rsidP="004356C4">
            <w:pPr>
              <w:spacing w:line="360" w:lineRule="auto"/>
              <w:ind w:firstLineChars="200" w:firstLine="480"/>
              <w:jc w:val="left"/>
              <w:rPr>
                <w:rFonts w:ascii="宋体" w:hAnsi="宋体"/>
                <w:sz w:val="24"/>
              </w:rPr>
            </w:pPr>
            <w:r w:rsidRPr="006557EF">
              <w:rPr>
                <w:rFonts w:ascii="宋体" w:hAnsi="宋体" w:hint="eastAsia"/>
                <w:sz w:val="24"/>
              </w:rPr>
              <w:t>关于产品和业态。公司在重组后成为以商业地产、住宅地产和产业地产为核心板块，涵盖酒店、长租公寓、旅游地产等创新业态的全产业综合地产开发平台。商业地产包含“大悦城”城市综合体旗舰品牌，“大悦春风里”区域性商业中心，中粮广场、中粮置地广场等持有型写字楼品牌，以及北京华尔道夫、亚龙</w:t>
            </w:r>
            <w:proofErr w:type="gramStart"/>
            <w:r w:rsidRPr="006557EF">
              <w:rPr>
                <w:rFonts w:ascii="宋体" w:hAnsi="宋体" w:hint="eastAsia"/>
                <w:sz w:val="24"/>
              </w:rPr>
              <w:t>湾瑞吉酒店等高端酒店</w:t>
            </w:r>
            <w:proofErr w:type="gramEnd"/>
            <w:r w:rsidRPr="006557EF">
              <w:rPr>
                <w:rFonts w:ascii="宋体" w:hAnsi="宋体" w:hint="eastAsia"/>
                <w:sz w:val="24"/>
              </w:rPr>
              <w:t>产品。住宅地产方面，形成了壹号系列、祥云系列、锦</w:t>
            </w:r>
            <w:proofErr w:type="gramStart"/>
            <w:r w:rsidRPr="006557EF">
              <w:rPr>
                <w:rFonts w:ascii="宋体" w:hAnsi="宋体" w:hint="eastAsia"/>
                <w:sz w:val="24"/>
              </w:rPr>
              <w:t>云系列及鸿云系列四条品牌住宅</w:t>
            </w:r>
            <w:proofErr w:type="gramEnd"/>
            <w:r w:rsidRPr="006557EF">
              <w:rPr>
                <w:rFonts w:ascii="宋体" w:hAnsi="宋体" w:hint="eastAsia"/>
                <w:sz w:val="24"/>
              </w:rPr>
              <w:t>产品线，以高品质生活空间及服务，满足不同人生阶段对于美好生活的向往，形成了良好的社会口碑。公司在深圳等地拥有较大规模的产业地产项目及储备用地，其中深圳中粮创芯公园、中粮（福安）机器人智造产业园、中粮深圳宝安</w:t>
            </w:r>
            <w:r w:rsidRPr="006557EF">
              <w:rPr>
                <w:rFonts w:ascii="宋体" w:hAnsi="宋体"/>
                <w:sz w:val="24"/>
              </w:rPr>
              <w:t>67区商务公园</w:t>
            </w:r>
            <w:r w:rsidRPr="006557EF">
              <w:rPr>
                <w:rFonts w:ascii="宋体" w:hAnsi="宋体" w:hint="eastAsia"/>
                <w:sz w:val="24"/>
              </w:rPr>
              <w:t>等产业园区已经形成良好的经济及社会效益。此外，公司还拥有“乐邑”系列长租公寓、三亚亚龙湾国家旅游度假区等其他创新发展业务。</w:t>
            </w:r>
          </w:p>
          <w:p w:rsidR="004356C4" w:rsidRPr="004356C4"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p>
          <w:p w:rsidR="004356C4" w:rsidRPr="004356C4"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b/>
                <w:bCs/>
                <w:iCs/>
                <w:color w:val="000000"/>
                <w:kern w:val="0"/>
                <w:sz w:val="24"/>
              </w:rPr>
              <w:t>2</w:t>
            </w:r>
            <w:r>
              <w:rPr>
                <w:rFonts w:asciiTheme="majorEastAsia" w:eastAsiaTheme="majorEastAsia" w:hAnsiTheme="majorEastAsia" w:hint="eastAsia"/>
                <w:b/>
                <w:bCs/>
                <w:iCs/>
                <w:color w:val="000000"/>
                <w:kern w:val="0"/>
                <w:sz w:val="24"/>
              </w:rPr>
              <w:t>、</w:t>
            </w:r>
            <w:r>
              <w:rPr>
                <w:rFonts w:asciiTheme="majorEastAsia" w:eastAsiaTheme="majorEastAsia" w:hAnsiTheme="majorEastAsia"/>
                <w:b/>
                <w:bCs/>
                <w:iCs/>
                <w:color w:val="000000"/>
                <w:kern w:val="0"/>
                <w:sz w:val="24"/>
              </w:rPr>
              <w:t>大悦城商业</w:t>
            </w:r>
            <w:r>
              <w:rPr>
                <w:rFonts w:asciiTheme="majorEastAsia" w:eastAsiaTheme="majorEastAsia" w:hAnsiTheme="majorEastAsia" w:hint="eastAsia"/>
                <w:b/>
                <w:bCs/>
                <w:iCs/>
                <w:color w:val="000000"/>
                <w:kern w:val="0"/>
                <w:sz w:val="24"/>
              </w:rPr>
              <w:t>发展</w:t>
            </w:r>
            <w:r>
              <w:rPr>
                <w:rFonts w:asciiTheme="majorEastAsia" w:eastAsiaTheme="majorEastAsia" w:hAnsiTheme="majorEastAsia"/>
                <w:b/>
                <w:bCs/>
                <w:iCs/>
                <w:color w:val="000000"/>
                <w:kern w:val="0"/>
                <w:sz w:val="24"/>
              </w:rPr>
              <w:t>及布局、产品</w:t>
            </w:r>
            <w:r>
              <w:rPr>
                <w:rFonts w:asciiTheme="majorEastAsia" w:eastAsiaTheme="majorEastAsia" w:hAnsiTheme="majorEastAsia" w:hint="eastAsia"/>
                <w:b/>
                <w:bCs/>
                <w:iCs/>
                <w:color w:val="000000"/>
                <w:kern w:val="0"/>
                <w:sz w:val="24"/>
              </w:rPr>
              <w:t>线</w:t>
            </w:r>
          </w:p>
          <w:p w:rsidR="00BA4569" w:rsidRPr="00F13F38" w:rsidRDefault="00BA4569" w:rsidP="00BA4569">
            <w:pPr>
              <w:adjustRightInd w:val="0"/>
              <w:snapToGrid w:val="0"/>
              <w:spacing w:line="360" w:lineRule="auto"/>
              <w:ind w:firstLine="482"/>
              <w:rPr>
                <w:rFonts w:hAnsiTheme="minorHAnsi"/>
                <w:color w:val="000000"/>
                <w:kern w:val="0"/>
                <w:sz w:val="24"/>
              </w:rPr>
            </w:pPr>
            <w:r>
              <w:rPr>
                <w:rFonts w:ascii="宋体" w:hAnsi="宋体" w:cs="宋体" w:hint="eastAsia"/>
                <w:color w:val="000000"/>
                <w:kern w:val="0"/>
                <w:sz w:val="24"/>
              </w:rPr>
              <w:t>大悦城</w:t>
            </w:r>
            <w:r>
              <w:rPr>
                <w:rFonts w:ascii="宋体" w:hAnsi="宋体" w:cs="宋体"/>
                <w:color w:val="000000"/>
                <w:kern w:val="0"/>
                <w:sz w:val="24"/>
              </w:rPr>
              <w:t>购物中心目前包括大悦城、</w:t>
            </w:r>
            <w:r>
              <w:rPr>
                <w:rFonts w:ascii="宋体" w:hAnsi="宋体" w:cs="宋体" w:hint="eastAsia"/>
                <w:color w:val="000000"/>
                <w:kern w:val="0"/>
                <w:sz w:val="24"/>
              </w:rPr>
              <w:t>大悦</w:t>
            </w:r>
            <w:r>
              <w:rPr>
                <w:rFonts w:ascii="宋体" w:hAnsi="宋体" w:cs="宋体"/>
                <w:color w:val="000000"/>
                <w:kern w:val="0"/>
                <w:sz w:val="24"/>
              </w:rPr>
              <w:t>春风里、祥云小镇三条产品线。</w:t>
            </w:r>
            <w:r w:rsidRPr="006557EF">
              <w:rPr>
                <w:rFonts w:ascii="宋体" w:hAnsi="宋体" w:cs="宋体" w:hint="eastAsia"/>
                <w:color w:val="000000"/>
                <w:kern w:val="0"/>
                <w:sz w:val="24"/>
              </w:rPr>
              <w:t>截至目前，大悦城控股（含大悦城地产）共持有或管理了</w:t>
            </w:r>
            <w:r w:rsidRPr="006557EF">
              <w:rPr>
                <w:rFonts w:ascii="宋体" w:hAnsi="宋体" w:cs="宋体" w:hint="eastAsia"/>
                <w:bCs/>
                <w:color w:val="000000"/>
                <w:kern w:val="0"/>
                <w:sz w:val="24"/>
              </w:rPr>
              <w:t>13个</w:t>
            </w:r>
            <w:r w:rsidRPr="006557EF">
              <w:rPr>
                <w:rFonts w:ascii="宋体" w:hAnsi="宋体" w:cs="宋体" w:hint="eastAsia"/>
                <w:color w:val="000000"/>
                <w:kern w:val="0"/>
                <w:sz w:val="24"/>
              </w:rPr>
              <w:t>已开业的大悦城和祥云小镇项目；同时拥有</w:t>
            </w:r>
            <w:r w:rsidRPr="006557EF">
              <w:rPr>
                <w:rFonts w:ascii="宋体" w:hAnsi="宋体" w:cs="宋体" w:hint="eastAsia"/>
                <w:bCs/>
                <w:color w:val="000000"/>
                <w:kern w:val="0"/>
                <w:sz w:val="24"/>
              </w:rPr>
              <w:t>在建</w:t>
            </w:r>
            <w:r>
              <w:rPr>
                <w:rFonts w:ascii="宋体" w:hAnsi="宋体" w:cs="宋体" w:hint="eastAsia"/>
                <w:bCs/>
                <w:color w:val="000000"/>
                <w:kern w:val="0"/>
                <w:sz w:val="24"/>
              </w:rPr>
              <w:t>拟建</w:t>
            </w:r>
            <w:r w:rsidRPr="006557EF">
              <w:rPr>
                <w:rFonts w:ascii="宋体" w:hAnsi="宋体" w:cs="宋体" w:hint="eastAsia"/>
                <w:bCs/>
                <w:color w:val="000000"/>
                <w:kern w:val="0"/>
                <w:sz w:val="24"/>
              </w:rPr>
              <w:t>的大悦城及大悦春风</w:t>
            </w:r>
            <w:proofErr w:type="gramStart"/>
            <w:r w:rsidRPr="006557EF">
              <w:rPr>
                <w:rFonts w:ascii="宋体" w:hAnsi="宋体" w:cs="宋体" w:hint="eastAsia"/>
                <w:bCs/>
                <w:color w:val="000000"/>
                <w:kern w:val="0"/>
                <w:sz w:val="24"/>
              </w:rPr>
              <w:t>里项目</w:t>
            </w:r>
            <w:proofErr w:type="gramEnd"/>
            <w:r w:rsidRPr="006557EF">
              <w:rPr>
                <w:rFonts w:ascii="宋体" w:hAnsi="宋体" w:cs="宋体" w:hint="eastAsia"/>
                <w:bCs/>
                <w:color w:val="000000"/>
                <w:kern w:val="0"/>
                <w:sz w:val="24"/>
              </w:rPr>
              <w:t>9个。</w:t>
            </w:r>
          </w:p>
          <w:p w:rsidR="004356C4" w:rsidRPr="006557EF" w:rsidRDefault="004356C4" w:rsidP="004356C4">
            <w:pPr>
              <w:widowControl/>
              <w:spacing w:line="360" w:lineRule="auto"/>
              <w:ind w:firstLineChars="200" w:firstLine="480"/>
              <w:jc w:val="left"/>
              <w:rPr>
                <w:rFonts w:hAnsiTheme="minorHAnsi"/>
                <w:color w:val="000000"/>
                <w:kern w:val="0"/>
                <w:sz w:val="24"/>
              </w:rPr>
            </w:pPr>
            <w:r w:rsidRPr="006557EF">
              <w:rPr>
                <w:rFonts w:hAnsiTheme="minorHAnsi" w:hint="eastAsia"/>
                <w:color w:val="000000"/>
                <w:kern w:val="0"/>
                <w:sz w:val="24"/>
              </w:rPr>
              <w:lastRenderedPageBreak/>
              <w:t>大悦城现在定位是时尚、品味、潮流，定位于</w:t>
            </w:r>
            <w:r w:rsidRPr="006557EF">
              <w:rPr>
                <w:rFonts w:hAnsiTheme="minorHAnsi" w:hint="eastAsia"/>
                <w:color w:val="000000"/>
                <w:kern w:val="0"/>
                <w:sz w:val="24"/>
              </w:rPr>
              <w:t>18-35</w:t>
            </w:r>
            <w:r w:rsidR="000F3A3D">
              <w:rPr>
                <w:rFonts w:hAnsiTheme="minorHAnsi" w:hint="eastAsia"/>
                <w:color w:val="000000"/>
                <w:kern w:val="0"/>
                <w:sz w:val="24"/>
              </w:rPr>
              <w:t>岁的人群</w:t>
            </w:r>
            <w:r w:rsidRPr="006557EF">
              <w:rPr>
                <w:rFonts w:hAnsiTheme="minorHAnsi" w:hint="eastAsia"/>
                <w:color w:val="000000"/>
                <w:kern w:val="0"/>
                <w:sz w:val="24"/>
              </w:rPr>
              <w:t>。春风里的定位是</w:t>
            </w:r>
            <w:r w:rsidR="000F3A3D">
              <w:rPr>
                <w:rFonts w:hAnsiTheme="minorHAnsi" w:hint="eastAsia"/>
                <w:color w:val="000000"/>
                <w:kern w:val="0"/>
                <w:sz w:val="24"/>
              </w:rPr>
              <w:t>区域</w:t>
            </w:r>
            <w:r w:rsidRPr="006557EF">
              <w:rPr>
                <w:rFonts w:hAnsiTheme="minorHAnsi" w:hint="eastAsia"/>
                <w:color w:val="000000"/>
                <w:kern w:val="0"/>
                <w:sz w:val="24"/>
              </w:rPr>
              <w:t>型，年龄在</w:t>
            </w:r>
            <w:r w:rsidRPr="006557EF">
              <w:rPr>
                <w:rFonts w:hAnsiTheme="minorHAnsi" w:hint="eastAsia"/>
                <w:color w:val="000000"/>
                <w:kern w:val="0"/>
                <w:sz w:val="24"/>
              </w:rPr>
              <w:t>25-45</w:t>
            </w:r>
            <w:r w:rsidR="000F3A3D">
              <w:rPr>
                <w:rFonts w:hAnsiTheme="minorHAnsi" w:hint="eastAsia"/>
                <w:color w:val="000000"/>
                <w:kern w:val="0"/>
                <w:sz w:val="24"/>
              </w:rPr>
              <w:t>岁，除了时尚品味外，还要温和舒适</w:t>
            </w:r>
            <w:r w:rsidRPr="006557EF">
              <w:rPr>
                <w:rFonts w:hAnsiTheme="minorHAnsi" w:hint="eastAsia"/>
                <w:color w:val="000000"/>
                <w:kern w:val="0"/>
                <w:sz w:val="24"/>
              </w:rPr>
              <w:t>，春风里选址不会选一线城市的核心区域。</w:t>
            </w:r>
          </w:p>
          <w:p w:rsidR="004356C4" w:rsidRDefault="004356C4" w:rsidP="004356C4">
            <w:pPr>
              <w:adjustRightInd w:val="0"/>
              <w:snapToGrid w:val="0"/>
              <w:spacing w:line="360" w:lineRule="auto"/>
              <w:ind w:firstLine="482"/>
              <w:rPr>
                <w:rFonts w:hAnsiTheme="minorHAnsi"/>
                <w:color w:val="000000"/>
                <w:kern w:val="0"/>
                <w:sz w:val="24"/>
              </w:rPr>
            </w:pPr>
            <w:r w:rsidRPr="006557EF">
              <w:rPr>
                <w:rFonts w:hAnsiTheme="minorHAnsi" w:hint="eastAsia"/>
                <w:color w:val="000000"/>
                <w:kern w:val="0"/>
                <w:sz w:val="24"/>
              </w:rPr>
              <w:t>大悦城选址是一线城市和二线城市的核心区域，主要是一线城市和重要城市的旧城改造和提升区域，一定是成为了城市地标性的商业，覆盖城市。春风里是在大悦城体系之下产生的，客群依托于大悦城，定位</w:t>
            </w:r>
            <w:r w:rsidRPr="006557EF">
              <w:rPr>
                <w:rFonts w:hAnsiTheme="minorHAnsi" w:hint="eastAsia"/>
                <w:color w:val="000000"/>
                <w:kern w:val="0"/>
                <w:sz w:val="24"/>
              </w:rPr>
              <w:t>25-45</w:t>
            </w:r>
            <w:r w:rsidRPr="006557EF">
              <w:rPr>
                <w:rFonts w:hAnsiTheme="minorHAnsi" w:hint="eastAsia"/>
                <w:color w:val="000000"/>
                <w:kern w:val="0"/>
                <w:sz w:val="24"/>
              </w:rPr>
              <w:t>岁客群，聚集在城市中产阶级聚集的居住区，类似香港的居住区的配套大型商业。大悦城的业态配置以时尚零售、时尚</w:t>
            </w:r>
            <w:r w:rsidR="000F3A3D">
              <w:rPr>
                <w:rFonts w:hAnsiTheme="minorHAnsi" w:hint="eastAsia"/>
                <w:color w:val="000000"/>
                <w:kern w:val="0"/>
                <w:sz w:val="24"/>
              </w:rPr>
              <w:t>餐饮</w:t>
            </w:r>
            <w:r w:rsidRPr="006557EF">
              <w:rPr>
                <w:rFonts w:hAnsiTheme="minorHAnsi" w:hint="eastAsia"/>
                <w:color w:val="000000"/>
                <w:kern w:val="0"/>
                <w:sz w:val="24"/>
              </w:rPr>
              <w:t>以及新奇娱乐服务为主。</w:t>
            </w:r>
          </w:p>
          <w:p w:rsidR="004356C4" w:rsidRDefault="004356C4" w:rsidP="004356C4">
            <w:pPr>
              <w:adjustRightInd w:val="0"/>
              <w:snapToGrid w:val="0"/>
              <w:spacing w:line="360" w:lineRule="auto"/>
              <w:ind w:firstLine="482"/>
              <w:rPr>
                <w:rFonts w:hAnsiTheme="minorHAnsi"/>
                <w:color w:val="000000"/>
                <w:kern w:val="0"/>
                <w:sz w:val="24"/>
              </w:rPr>
            </w:pPr>
            <w:r>
              <w:rPr>
                <w:rFonts w:hAnsiTheme="minorHAnsi" w:hint="eastAsia"/>
                <w:color w:val="000000"/>
                <w:kern w:val="0"/>
                <w:sz w:val="24"/>
              </w:rPr>
              <w:t>大悦</w:t>
            </w:r>
            <w:r w:rsidRPr="006557EF">
              <w:rPr>
                <w:rFonts w:hAnsiTheme="minorHAnsi" w:hint="eastAsia"/>
                <w:color w:val="000000"/>
                <w:kern w:val="0"/>
                <w:sz w:val="24"/>
              </w:rPr>
              <w:t>春风里会主要选择高频到访的业态，比如儿童娱乐教育型业态、大型餐饮（家庭聚会式）</w:t>
            </w:r>
            <w:r>
              <w:rPr>
                <w:rFonts w:hAnsiTheme="minorHAnsi" w:hint="eastAsia"/>
                <w:color w:val="000000"/>
                <w:kern w:val="0"/>
                <w:sz w:val="24"/>
              </w:rPr>
              <w:t>。</w:t>
            </w:r>
            <w:r w:rsidRPr="006557EF">
              <w:rPr>
                <w:rFonts w:hAnsiTheme="minorHAnsi" w:hint="eastAsia"/>
                <w:color w:val="000000"/>
                <w:kern w:val="0"/>
                <w:sz w:val="24"/>
              </w:rPr>
              <w:t xml:space="preserve"> </w:t>
            </w:r>
          </w:p>
          <w:p w:rsidR="004356C4" w:rsidRDefault="004356C4" w:rsidP="004356C4">
            <w:pPr>
              <w:adjustRightInd w:val="0"/>
              <w:snapToGrid w:val="0"/>
              <w:spacing w:line="360" w:lineRule="auto"/>
              <w:ind w:firstLine="482"/>
              <w:rPr>
                <w:rFonts w:hAnsiTheme="minorHAnsi"/>
                <w:color w:val="000000"/>
                <w:kern w:val="0"/>
                <w:sz w:val="24"/>
              </w:rPr>
            </w:pPr>
            <w:r w:rsidRPr="006557EF">
              <w:rPr>
                <w:rFonts w:hAnsiTheme="minorHAnsi" w:hint="eastAsia"/>
                <w:color w:val="000000"/>
                <w:kern w:val="0"/>
                <w:sz w:val="24"/>
              </w:rPr>
              <w:t>祥云小镇被定位成城市近郊旅游度假商业产品，业态上看既有周边的日常式服务（餐饮、零售），也有一些目的性的项目。</w:t>
            </w:r>
          </w:p>
          <w:p w:rsidR="004356C4" w:rsidRDefault="004356C4" w:rsidP="004356C4">
            <w:pPr>
              <w:adjustRightInd w:val="0"/>
              <w:snapToGrid w:val="0"/>
              <w:spacing w:line="360" w:lineRule="auto"/>
              <w:ind w:firstLine="482"/>
              <w:rPr>
                <w:rFonts w:hAnsiTheme="minorHAnsi"/>
                <w:color w:val="000000"/>
                <w:kern w:val="0"/>
                <w:sz w:val="24"/>
              </w:rPr>
            </w:pPr>
            <w:r>
              <w:rPr>
                <w:rFonts w:hAnsiTheme="minorHAnsi" w:hint="eastAsia"/>
                <w:color w:val="000000"/>
                <w:kern w:val="0"/>
                <w:sz w:val="24"/>
              </w:rPr>
              <w:t>三条</w:t>
            </w:r>
            <w:r>
              <w:rPr>
                <w:rFonts w:hAnsiTheme="minorHAnsi"/>
                <w:color w:val="000000"/>
                <w:kern w:val="0"/>
                <w:sz w:val="24"/>
              </w:rPr>
              <w:t>产品线</w:t>
            </w:r>
            <w:r w:rsidRPr="006557EF">
              <w:rPr>
                <w:rFonts w:hAnsiTheme="minorHAnsi" w:hint="eastAsia"/>
                <w:color w:val="000000"/>
                <w:kern w:val="0"/>
                <w:sz w:val="24"/>
              </w:rPr>
              <w:t>从城市位置来看，大悦城是城市中心，向外周边辐射，可以辐射春风里和祥云小镇。</w:t>
            </w:r>
          </w:p>
          <w:p w:rsidR="004356C4"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p>
          <w:p w:rsidR="0045041F"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3、大悦城</w:t>
            </w:r>
            <w:r>
              <w:rPr>
                <w:rFonts w:asciiTheme="majorEastAsia" w:eastAsiaTheme="majorEastAsia" w:hAnsiTheme="majorEastAsia"/>
                <w:b/>
                <w:bCs/>
                <w:iCs/>
                <w:color w:val="000000"/>
                <w:kern w:val="0"/>
                <w:sz w:val="24"/>
              </w:rPr>
              <w:t>商业与基金合作的情况</w:t>
            </w:r>
          </w:p>
          <w:p w:rsidR="004356C4" w:rsidRPr="00BD21BB" w:rsidRDefault="004356C4" w:rsidP="00B952A1">
            <w:pPr>
              <w:adjustRightInd w:val="0"/>
              <w:snapToGrid w:val="0"/>
              <w:spacing w:line="360" w:lineRule="auto"/>
              <w:ind w:firstLine="482"/>
              <w:rPr>
                <w:rFonts w:asciiTheme="majorEastAsia" w:eastAsiaTheme="majorEastAsia" w:hAnsiTheme="majorEastAsia"/>
                <w:bCs/>
                <w:iCs/>
                <w:color w:val="000000"/>
                <w:kern w:val="0"/>
                <w:sz w:val="24"/>
              </w:rPr>
            </w:pPr>
            <w:r w:rsidRPr="00BD21BB">
              <w:rPr>
                <w:rFonts w:asciiTheme="majorEastAsia" w:eastAsiaTheme="majorEastAsia" w:hAnsiTheme="majorEastAsia" w:hint="eastAsia"/>
                <w:bCs/>
                <w:iCs/>
                <w:color w:val="000000"/>
                <w:kern w:val="0"/>
                <w:sz w:val="24"/>
              </w:rPr>
              <w:t>目前大悦城地产有3只房地产基金，其中2016年已向房地产核心基金出让6个购物中心49%的股权。此外成立的并购基金目标为收购、改造</w:t>
            </w:r>
            <w:r w:rsidR="000F3A3D">
              <w:rPr>
                <w:rFonts w:asciiTheme="majorEastAsia" w:eastAsiaTheme="majorEastAsia" w:hAnsiTheme="majorEastAsia" w:hint="eastAsia"/>
                <w:bCs/>
                <w:iCs/>
                <w:color w:val="000000"/>
                <w:kern w:val="0"/>
                <w:sz w:val="24"/>
              </w:rPr>
              <w:t>、运营存量商业资产，另外一只区域基金主要关注北方片区的存量物业</w:t>
            </w:r>
            <w:r w:rsidRPr="00BD21BB">
              <w:rPr>
                <w:rFonts w:asciiTheme="majorEastAsia" w:eastAsiaTheme="majorEastAsia" w:hAnsiTheme="majorEastAsia"/>
                <w:bCs/>
                <w:iCs/>
                <w:color w:val="000000"/>
                <w:kern w:val="0"/>
                <w:sz w:val="24"/>
              </w:rPr>
              <w:t>。</w:t>
            </w:r>
          </w:p>
          <w:p w:rsidR="004356C4" w:rsidRDefault="004356C4" w:rsidP="00B952A1">
            <w:pPr>
              <w:adjustRightInd w:val="0"/>
              <w:snapToGrid w:val="0"/>
              <w:spacing w:line="360" w:lineRule="auto"/>
              <w:ind w:firstLine="482"/>
              <w:rPr>
                <w:rFonts w:asciiTheme="majorEastAsia" w:eastAsiaTheme="majorEastAsia" w:hAnsiTheme="majorEastAsia"/>
                <w:b/>
                <w:bCs/>
                <w:iCs/>
                <w:color w:val="000000"/>
                <w:kern w:val="0"/>
                <w:sz w:val="24"/>
              </w:rPr>
            </w:pPr>
          </w:p>
          <w:p w:rsidR="00095BB7" w:rsidRPr="00BD21BB" w:rsidRDefault="004356C4" w:rsidP="00CC1402">
            <w:pPr>
              <w:pStyle w:val="Default"/>
              <w:spacing w:line="360" w:lineRule="auto"/>
              <w:ind w:firstLineChars="200" w:firstLine="482"/>
              <w:jc w:val="both"/>
              <w:rPr>
                <w:rFonts w:asciiTheme="minorEastAsia" w:eastAsiaTheme="minorEastAsia" w:hAnsiTheme="minorEastAsia" w:cs="Times New Roman"/>
                <w:b/>
              </w:rPr>
            </w:pPr>
            <w:r w:rsidRPr="00BD21BB">
              <w:rPr>
                <w:rFonts w:asciiTheme="minorEastAsia" w:eastAsiaTheme="minorEastAsia" w:hAnsiTheme="minorEastAsia" w:cs="Times New Roman" w:hint="eastAsia"/>
                <w:b/>
              </w:rPr>
              <w:t>4、</w:t>
            </w:r>
            <w:r w:rsidRPr="00BD21BB">
              <w:rPr>
                <w:rFonts w:asciiTheme="minorEastAsia" w:eastAsiaTheme="minorEastAsia" w:hAnsiTheme="minorEastAsia" w:cs="Times New Roman"/>
                <w:b/>
              </w:rPr>
              <w:t>商业地产的发展趋势</w:t>
            </w:r>
          </w:p>
          <w:p w:rsidR="00BA4569" w:rsidRDefault="00BA4569" w:rsidP="00BA4569">
            <w:pPr>
              <w:spacing w:line="360" w:lineRule="auto"/>
              <w:ind w:firstLineChars="200" w:firstLine="480"/>
              <w:jc w:val="left"/>
              <w:rPr>
                <w:rFonts w:ascii="宋体" w:hAnsi="宋体"/>
                <w:sz w:val="24"/>
              </w:rPr>
            </w:pPr>
            <w:r>
              <w:rPr>
                <w:rFonts w:ascii="宋体" w:hAnsi="宋体" w:hint="eastAsia"/>
                <w:sz w:val="24"/>
              </w:rPr>
              <w:t>商业地产方面，新型城镇化叠加消费升级，为商业地产市场需求带来了更广阔的空间。随着城市内部空间形态的演变及个性化消费的兴起，高品质商业消费及办公的需求日益增加。市因城而起，城因市而兴，未来城镇化与商业地产的发展将更加相得益彰、共生共荣。</w:t>
            </w:r>
          </w:p>
          <w:p w:rsidR="004356C4" w:rsidRPr="00BA4569" w:rsidRDefault="00BA4569" w:rsidP="00CC1402">
            <w:pPr>
              <w:pStyle w:val="Default"/>
              <w:spacing w:line="360" w:lineRule="auto"/>
              <w:ind w:firstLineChars="200" w:firstLine="480"/>
              <w:jc w:val="both"/>
              <w:rPr>
                <w:rFonts w:asciiTheme="minorEastAsia" w:eastAsiaTheme="minorEastAsia" w:hAnsiTheme="minorEastAsia" w:cs="Times New Roman"/>
              </w:rPr>
            </w:pPr>
            <w:r w:rsidRPr="00E61FEE">
              <w:rPr>
                <w:rFonts w:hAnsi="宋体"/>
              </w:rPr>
              <w:t>2019</w:t>
            </w:r>
            <w:r w:rsidRPr="00E61FEE">
              <w:rPr>
                <w:rFonts w:hAnsi="宋体" w:hint="eastAsia"/>
              </w:rPr>
              <w:t>年公司将继续扮演商业地产引领者角色，打造行业标杆，</w:t>
            </w:r>
            <w:r w:rsidRPr="00E61FEE">
              <w:rPr>
                <w:rFonts w:hAnsi="宋体"/>
              </w:rPr>
              <w:lastRenderedPageBreak/>
              <w:t>2019</w:t>
            </w:r>
            <w:r w:rsidRPr="00E61FEE">
              <w:rPr>
                <w:rFonts w:hAnsi="宋体" w:hint="eastAsia"/>
              </w:rPr>
              <w:t>年公司将力争实现购物中心业态租金收入双位数增长</w:t>
            </w:r>
            <w:r>
              <w:rPr>
                <w:rFonts w:hAnsi="宋体" w:hint="eastAsia"/>
              </w:rPr>
              <w:t>。</w:t>
            </w:r>
          </w:p>
          <w:p w:rsidR="004356C4" w:rsidRPr="006557EF" w:rsidRDefault="004356C4" w:rsidP="00CC1402">
            <w:pPr>
              <w:pStyle w:val="Default"/>
              <w:spacing w:line="360" w:lineRule="auto"/>
              <w:ind w:firstLineChars="200" w:firstLine="480"/>
              <w:jc w:val="both"/>
              <w:rPr>
                <w:rFonts w:asciiTheme="minorEastAsia" w:eastAsiaTheme="minorEastAsia" w:hAnsiTheme="minorEastAsia" w:cs="Times New Roman"/>
              </w:rPr>
            </w:pPr>
          </w:p>
          <w:p w:rsidR="00DF672D" w:rsidRPr="006557EF" w:rsidRDefault="00530144" w:rsidP="00B952A1">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5</w:t>
            </w:r>
            <w:r w:rsidR="00CC1402" w:rsidRPr="006557EF">
              <w:rPr>
                <w:rFonts w:asciiTheme="majorEastAsia" w:eastAsiaTheme="majorEastAsia" w:hAnsiTheme="majorEastAsia" w:hint="eastAsia"/>
                <w:b/>
                <w:bCs/>
                <w:iCs/>
                <w:color w:val="000000"/>
                <w:kern w:val="0"/>
                <w:sz w:val="24"/>
              </w:rPr>
              <w:t>、公司</w:t>
            </w:r>
            <w:r>
              <w:rPr>
                <w:rFonts w:asciiTheme="majorEastAsia" w:eastAsiaTheme="majorEastAsia" w:hAnsiTheme="majorEastAsia" w:hint="eastAsia"/>
                <w:b/>
                <w:bCs/>
                <w:iCs/>
                <w:color w:val="000000"/>
                <w:kern w:val="0"/>
                <w:sz w:val="24"/>
              </w:rPr>
              <w:t>的</w:t>
            </w:r>
            <w:r>
              <w:rPr>
                <w:rFonts w:asciiTheme="majorEastAsia" w:eastAsiaTheme="majorEastAsia" w:hAnsiTheme="majorEastAsia"/>
                <w:b/>
                <w:bCs/>
                <w:iCs/>
                <w:color w:val="000000"/>
                <w:kern w:val="0"/>
                <w:sz w:val="24"/>
              </w:rPr>
              <w:t>债务结构及融资成本</w:t>
            </w:r>
          </w:p>
          <w:p w:rsidR="00C75592" w:rsidRDefault="00581E0D" w:rsidP="00C75592">
            <w:pPr>
              <w:adjustRightInd w:val="0"/>
              <w:snapToGrid w:val="0"/>
              <w:spacing w:line="360" w:lineRule="auto"/>
              <w:ind w:firstLineChars="200" w:firstLine="480"/>
              <w:rPr>
                <w:rFonts w:asciiTheme="minorEastAsia" w:eastAsiaTheme="minorEastAsia" w:hAnsiTheme="minorEastAsia"/>
                <w:color w:val="000000"/>
                <w:kern w:val="0"/>
                <w:sz w:val="24"/>
              </w:rPr>
            </w:pPr>
            <w:r>
              <w:rPr>
                <w:rFonts w:ascii="宋体" w:hAnsi="宋体" w:cs="宋体"/>
                <w:kern w:val="0"/>
                <w:sz w:val="24"/>
              </w:rPr>
              <w:t>2</w:t>
            </w:r>
            <w:r w:rsidRPr="00581E0D">
              <w:rPr>
                <w:rFonts w:asciiTheme="minorEastAsia" w:eastAsiaTheme="minorEastAsia" w:hAnsiTheme="minorEastAsia"/>
                <w:color w:val="000000"/>
                <w:kern w:val="0"/>
                <w:sz w:val="24"/>
              </w:rPr>
              <w:t>019</w:t>
            </w:r>
            <w:r w:rsidRPr="00581E0D">
              <w:rPr>
                <w:rFonts w:asciiTheme="minorEastAsia" w:eastAsiaTheme="minorEastAsia" w:hAnsiTheme="minorEastAsia" w:hint="eastAsia"/>
                <w:color w:val="000000"/>
                <w:kern w:val="0"/>
                <w:sz w:val="24"/>
              </w:rPr>
              <w:t>年</w:t>
            </w:r>
            <w:r w:rsidRPr="00581E0D">
              <w:rPr>
                <w:rFonts w:asciiTheme="minorEastAsia" w:eastAsiaTheme="minorEastAsia" w:hAnsiTheme="minorEastAsia"/>
                <w:color w:val="000000"/>
                <w:kern w:val="0"/>
                <w:sz w:val="24"/>
              </w:rPr>
              <w:t>一季度完成并表后</w:t>
            </w:r>
            <w:r w:rsidR="00530144" w:rsidRPr="00581E0D">
              <w:rPr>
                <w:rFonts w:asciiTheme="minorEastAsia" w:eastAsiaTheme="minorEastAsia" w:hAnsiTheme="minorEastAsia"/>
                <w:color w:val="000000"/>
                <w:kern w:val="0"/>
                <w:sz w:val="24"/>
              </w:rPr>
              <w:t>，公司资本结构有所优化，</w:t>
            </w:r>
            <w:r w:rsidR="00530144" w:rsidRPr="00581E0D">
              <w:rPr>
                <w:rFonts w:asciiTheme="minorEastAsia" w:eastAsiaTheme="minorEastAsia" w:hAnsiTheme="minorEastAsia" w:hint="eastAsia"/>
                <w:color w:val="000000"/>
                <w:kern w:val="0"/>
                <w:sz w:val="24"/>
              </w:rPr>
              <w:t>公司</w:t>
            </w:r>
            <w:r w:rsidR="00530144" w:rsidRPr="00581E0D">
              <w:rPr>
                <w:rFonts w:asciiTheme="minorEastAsia" w:eastAsiaTheme="minorEastAsia" w:hAnsiTheme="minorEastAsia"/>
                <w:color w:val="000000"/>
                <w:kern w:val="0"/>
                <w:sz w:val="24"/>
              </w:rPr>
              <w:t>资产负债率</w:t>
            </w:r>
            <w:r w:rsidR="005E4177" w:rsidRPr="00346F21">
              <w:rPr>
                <w:rFonts w:asciiTheme="minorEastAsia" w:eastAsiaTheme="minorEastAsia" w:hAnsiTheme="minorEastAsia" w:hint="eastAsia"/>
                <w:color w:val="000000"/>
                <w:kern w:val="0"/>
                <w:sz w:val="24"/>
              </w:rPr>
              <w:t>减少7.45个百分点</w:t>
            </w:r>
            <w:r w:rsidR="005E4177">
              <w:rPr>
                <w:rFonts w:asciiTheme="minorEastAsia" w:eastAsiaTheme="minorEastAsia" w:hAnsiTheme="minorEastAsia" w:hint="eastAsia"/>
                <w:color w:val="000000"/>
                <w:kern w:val="0"/>
                <w:sz w:val="24"/>
              </w:rPr>
              <w:t>，</w:t>
            </w:r>
            <w:r w:rsidR="00530144" w:rsidRPr="00581E0D">
              <w:rPr>
                <w:rFonts w:asciiTheme="minorEastAsia" w:eastAsiaTheme="minorEastAsia" w:hAnsiTheme="minorEastAsia"/>
                <w:color w:val="000000"/>
                <w:kern w:val="0"/>
                <w:sz w:val="24"/>
              </w:rPr>
              <w:t>从</w:t>
            </w:r>
            <w:r w:rsidR="00530144" w:rsidRPr="00581E0D">
              <w:rPr>
                <w:rFonts w:asciiTheme="minorEastAsia" w:eastAsiaTheme="minorEastAsia" w:hAnsiTheme="minorEastAsia" w:hint="eastAsia"/>
                <w:color w:val="000000"/>
                <w:kern w:val="0"/>
                <w:sz w:val="24"/>
              </w:rPr>
              <w:t>84.91</w:t>
            </w:r>
            <w:r w:rsidR="00530144" w:rsidRPr="00581E0D">
              <w:rPr>
                <w:rFonts w:asciiTheme="minorEastAsia" w:eastAsiaTheme="minorEastAsia" w:hAnsiTheme="minorEastAsia"/>
                <w:color w:val="000000"/>
                <w:kern w:val="0"/>
                <w:sz w:val="24"/>
              </w:rPr>
              <w:t>%降至</w:t>
            </w:r>
            <w:r w:rsidR="00530144" w:rsidRPr="00581E0D">
              <w:rPr>
                <w:rFonts w:asciiTheme="minorEastAsia" w:eastAsiaTheme="minorEastAsia" w:hAnsiTheme="minorEastAsia" w:hint="eastAsia"/>
                <w:color w:val="000000"/>
                <w:kern w:val="0"/>
                <w:sz w:val="24"/>
              </w:rPr>
              <w:t>77.46</w:t>
            </w:r>
            <w:r w:rsidR="00530144" w:rsidRPr="00581E0D">
              <w:rPr>
                <w:rFonts w:asciiTheme="minorEastAsia" w:eastAsiaTheme="minorEastAsia" w:hAnsiTheme="minorEastAsia"/>
                <w:color w:val="000000"/>
                <w:kern w:val="0"/>
                <w:sz w:val="24"/>
              </w:rPr>
              <w:t>%</w:t>
            </w:r>
            <w:r w:rsidR="00346F21">
              <w:rPr>
                <w:rFonts w:asciiTheme="minorEastAsia" w:eastAsiaTheme="minorEastAsia" w:hAnsiTheme="minorEastAsia" w:hint="eastAsia"/>
                <w:color w:val="000000"/>
                <w:kern w:val="0"/>
                <w:sz w:val="24"/>
              </w:rPr>
              <w:t>。</w:t>
            </w:r>
            <w:r w:rsidRPr="00581E0D">
              <w:rPr>
                <w:rFonts w:asciiTheme="minorEastAsia" w:eastAsiaTheme="minorEastAsia" w:hAnsiTheme="minorEastAsia" w:hint="eastAsia"/>
                <w:color w:val="000000"/>
                <w:kern w:val="0"/>
                <w:sz w:val="24"/>
              </w:rPr>
              <w:t>截至2018年12月31日</w:t>
            </w:r>
            <w:r w:rsidRPr="00581E0D">
              <w:rPr>
                <w:rFonts w:asciiTheme="minorEastAsia" w:eastAsiaTheme="minorEastAsia" w:hAnsiTheme="minorEastAsia"/>
                <w:color w:val="000000"/>
                <w:kern w:val="0"/>
                <w:sz w:val="24"/>
              </w:rPr>
              <w:t>，大悦城控股的融资成本区间</w:t>
            </w:r>
            <w:r w:rsidRPr="00581E0D">
              <w:rPr>
                <w:rFonts w:asciiTheme="minorEastAsia" w:eastAsiaTheme="minorEastAsia" w:hAnsiTheme="minorEastAsia" w:hint="eastAsia"/>
                <w:color w:val="000000"/>
                <w:kern w:val="0"/>
                <w:sz w:val="24"/>
              </w:rPr>
              <w:t>在4.4</w:t>
            </w:r>
            <w:r w:rsidRPr="00581E0D">
              <w:rPr>
                <w:rFonts w:asciiTheme="minorEastAsia" w:eastAsiaTheme="minorEastAsia" w:hAnsiTheme="minorEastAsia"/>
                <w:color w:val="000000"/>
                <w:kern w:val="0"/>
                <w:sz w:val="24"/>
              </w:rPr>
              <w:t>%-9.5%，大悦城地产的平均</w:t>
            </w:r>
            <w:r w:rsidRPr="00581E0D">
              <w:rPr>
                <w:rFonts w:asciiTheme="minorEastAsia" w:eastAsiaTheme="minorEastAsia" w:hAnsiTheme="minorEastAsia" w:hint="eastAsia"/>
                <w:color w:val="000000"/>
                <w:kern w:val="0"/>
                <w:sz w:val="24"/>
              </w:rPr>
              <w:t>借贷</w:t>
            </w:r>
            <w:r w:rsidRPr="00581E0D">
              <w:rPr>
                <w:rFonts w:asciiTheme="minorEastAsia" w:eastAsiaTheme="minorEastAsia" w:hAnsiTheme="minorEastAsia"/>
                <w:color w:val="000000"/>
                <w:kern w:val="0"/>
                <w:sz w:val="24"/>
              </w:rPr>
              <w:t>成本为</w:t>
            </w:r>
            <w:r w:rsidRPr="00581E0D">
              <w:rPr>
                <w:rFonts w:asciiTheme="minorEastAsia" w:eastAsiaTheme="minorEastAsia" w:hAnsiTheme="minorEastAsia" w:hint="eastAsia"/>
                <w:color w:val="000000"/>
                <w:kern w:val="0"/>
                <w:sz w:val="24"/>
              </w:rPr>
              <w:t>4.39%。</w:t>
            </w:r>
            <w:r w:rsidRPr="00581E0D">
              <w:rPr>
                <w:rFonts w:asciiTheme="minorEastAsia" w:eastAsiaTheme="minorEastAsia" w:hAnsiTheme="minorEastAsia"/>
                <w:color w:val="000000"/>
                <w:kern w:val="0"/>
                <w:sz w:val="24"/>
              </w:rPr>
              <w:t>未来</w:t>
            </w:r>
            <w:r w:rsidRPr="00581E0D">
              <w:rPr>
                <w:rFonts w:asciiTheme="minorEastAsia" w:eastAsiaTheme="minorEastAsia" w:hAnsiTheme="minorEastAsia" w:hint="eastAsia"/>
                <w:color w:val="000000"/>
                <w:kern w:val="0"/>
                <w:sz w:val="24"/>
              </w:rPr>
              <w:t>公司</w:t>
            </w:r>
            <w:r w:rsidRPr="00581E0D">
              <w:rPr>
                <w:rFonts w:asciiTheme="minorEastAsia" w:eastAsiaTheme="minorEastAsia" w:hAnsiTheme="minorEastAsia"/>
                <w:color w:val="000000"/>
                <w:kern w:val="0"/>
                <w:sz w:val="24"/>
              </w:rPr>
              <w:t>将积极</w:t>
            </w:r>
            <w:r w:rsidRPr="00581E0D">
              <w:rPr>
                <w:rFonts w:asciiTheme="minorEastAsia" w:eastAsiaTheme="minorEastAsia" w:hAnsiTheme="minorEastAsia" w:hint="eastAsia"/>
                <w:color w:val="000000"/>
                <w:kern w:val="0"/>
                <w:sz w:val="24"/>
              </w:rPr>
              <w:t>拓展</w:t>
            </w:r>
            <w:r w:rsidRPr="00581E0D">
              <w:rPr>
                <w:rFonts w:asciiTheme="minorEastAsia" w:eastAsiaTheme="minorEastAsia" w:hAnsiTheme="minorEastAsia"/>
                <w:color w:val="000000"/>
                <w:kern w:val="0"/>
                <w:sz w:val="24"/>
              </w:rPr>
              <w:t>境内外低成本融资渠道，进一步优化债务结构。</w:t>
            </w:r>
          </w:p>
          <w:p w:rsidR="004356C4" w:rsidRDefault="004356C4" w:rsidP="00C75592">
            <w:pPr>
              <w:adjustRightInd w:val="0"/>
              <w:snapToGrid w:val="0"/>
              <w:spacing w:line="360" w:lineRule="auto"/>
              <w:ind w:firstLineChars="200" w:firstLine="480"/>
              <w:rPr>
                <w:rFonts w:asciiTheme="minorEastAsia" w:eastAsiaTheme="minorEastAsia" w:hAnsiTheme="minorEastAsia"/>
                <w:color w:val="000000"/>
                <w:kern w:val="0"/>
                <w:sz w:val="24"/>
              </w:rPr>
            </w:pPr>
          </w:p>
          <w:p w:rsidR="004356C4" w:rsidRPr="00BD21BB" w:rsidRDefault="004356C4" w:rsidP="00C75592">
            <w:pPr>
              <w:adjustRightInd w:val="0"/>
              <w:snapToGrid w:val="0"/>
              <w:spacing w:line="360" w:lineRule="auto"/>
              <w:ind w:firstLineChars="200" w:firstLine="482"/>
              <w:rPr>
                <w:rFonts w:asciiTheme="minorEastAsia" w:eastAsiaTheme="minorEastAsia" w:hAnsiTheme="minorEastAsia"/>
                <w:b/>
                <w:color w:val="000000"/>
                <w:kern w:val="0"/>
                <w:sz w:val="24"/>
              </w:rPr>
            </w:pPr>
            <w:r w:rsidRPr="00BD21BB">
              <w:rPr>
                <w:rFonts w:asciiTheme="minorEastAsia" w:eastAsiaTheme="minorEastAsia" w:hAnsiTheme="minorEastAsia" w:hint="eastAsia"/>
                <w:b/>
                <w:color w:val="000000"/>
                <w:kern w:val="0"/>
                <w:sz w:val="24"/>
              </w:rPr>
              <w:t>6、</w:t>
            </w:r>
            <w:r w:rsidRPr="00BD21BB">
              <w:rPr>
                <w:rFonts w:asciiTheme="minorEastAsia" w:eastAsiaTheme="minorEastAsia" w:hAnsiTheme="minorEastAsia"/>
                <w:b/>
                <w:color w:val="000000"/>
                <w:kern w:val="0"/>
                <w:sz w:val="24"/>
              </w:rPr>
              <w:t>公司激励措施</w:t>
            </w:r>
          </w:p>
          <w:p w:rsidR="004356C4" w:rsidRPr="001D0C7E" w:rsidRDefault="004356C4" w:rsidP="004356C4">
            <w:pPr>
              <w:spacing w:line="360" w:lineRule="auto"/>
              <w:ind w:firstLineChars="200" w:firstLine="480"/>
              <w:rPr>
                <w:rFonts w:ascii="宋体" w:hAnsi="宋体"/>
                <w:sz w:val="24"/>
              </w:rPr>
            </w:pPr>
            <w:r w:rsidRPr="0068665C">
              <w:rPr>
                <w:rFonts w:ascii="宋体" w:hAnsi="宋体" w:hint="eastAsia"/>
                <w:sz w:val="24"/>
              </w:rPr>
              <w:t>目前</w:t>
            </w:r>
            <w:r>
              <w:rPr>
                <w:rFonts w:ascii="宋体" w:hAnsi="宋体" w:hint="eastAsia"/>
                <w:sz w:val="24"/>
              </w:rPr>
              <w:t>公司</w:t>
            </w:r>
            <w:r w:rsidRPr="0068665C">
              <w:rPr>
                <w:rFonts w:ascii="宋体" w:hAnsi="宋体" w:hint="eastAsia"/>
                <w:sz w:val="24"/>
              </w:rPr>
              <w:t>已列入国资委“双百企业”，公司将积</w:t>
            </w:r>
            <w:r w:rsidRPr="001D0C7E">
              <w:rPr>
                <w:rFonts w:ascii="宋体" w:hAnsi="宋体" w:hint="eastAsia"/>
                <w:sz w:val="24"/>
              </w:rPr>
              <w:t>极争取政策支持，加</w:t>
            </w:r>
            <w:r w:rsidRPr="0068665C">
              <w:rPr>
                <w:rFonts w:ascii="宋体" w:hAnsi="宋体" w:hint="eastAsia"/>
                <w:sz w:val="24"/>
              </w:rPr>
              <w:t>大体制</w:t>
            </w:r>
            <w:r>
              <w:rPr>
                <w:rFonts w:ascii="宋体" w:hAnsi="宋体" w:hint="eastAsia"/>
                <w:sz w:val="24"/>
              </w:rPr>
              <w:t>改革</w:t>
            </w:r>
            <w:r w:rsidRPr="0068665C">
              <w:rPr>
                <w:rFonts w:ascii="宋体" w:hAnsi="宋体" w:hint="eastAsia"/>
                <w:sz w:val="24"/>
              </w:rPr>
              <w:t>和激励的力度，结合市场环境和公司经营发展需要，在合法合</w:t>
            </w:r>
            <w:proofErr w:type="gramStart"/>
            <w:r w:rsidRPr="0068665C">
              <w:rPr>
                <w:rFonts w:ascii="宋体" w:hAnsi="宋体" w:hint="eastAsia"/>
                <w:sz w:val="24"/>
              </w:rPr>
              <w:t>规</w:t>
            </w:r>
            <w:proofErr w:type="gramEnd"/>
            <w:r w:rsidRPr="0068665C">
              <w:rPr>
                <w:rFonts w:ascii="宋体" w:hAnsi="宋体" w:hint="eastAsia"/>
                <w:sz w:val="24"/>
              </w:rPr>
              <w:t>的前提下加速推进员工持股等绩效激励工作。</w:t>
            </w:r>
          </w:p>
          <w:p w:rsidR="004356C4" w:rsidRDefault="004356C4" w:rsidP="00C75592">
            <w:pPr>
              <w:adjustRightInd w:val="0"/>
              <w:snapToGrid w:val="0"/>
              <w:spacing w:line="360" w:lineRule="auto"/>
              <w:ind w:firstLineChars="200" w:firstLine="480"/>
              <w:rPr>
                <w:rFonts w:asciiTheme="minorEastAsia" w:eastAsiaTheme="minorEastAsia" w:hAnsiTheme="minorEastAsia"/>
                <w:color w:val="000000"/>
                <w:kern w:val="0"/>
                <w:sz w:val="24"/>
              </w:rPr>
            </w:pPr>
          </w:p>
          <w:p w:rsidR="004356C4" w:rsidRPr="006557EF" w:rsidRDefault="004356C4" w:rsidP="004356C4">
            <w:pPr>
              <w:adjustRightInd w:val="0"/>
              <w:snapToGrid w:val="0"/>
              <w:spacing w:line="360" w:lineRule="auto"/>
              <w:ind w:firstLine="482"/>
              <w:rPr>
                <w:rFonts w:asciiTheme="majorEastAsia" w:eastAsiaTheme="majorEastAsia" w:hAnsiTheme="majorEastAsia"/>
                <w:b/>
                <w:bCs/>
                <w:iCs/>
                <w:color w:val="000000"/>
                <w:kern w:val="0"/>
                <w:sz w:val="24"/>
              </w:rPr>
            </w:pPr>
            <w:r>
              <w:rPr>
                <w:rFonts w:asciiTheme="majorEastAsia" w:eastAsiaTheme="majorEastAsia" w:hAnsiTheme="majorEastAsia"/>
                <w:b/>
                <w:bCs/>
                <w:iCs/>
                <w:color w:val="000000"/>
                <w:kern w:val="0"/>
                <w:sz w:val="24"/>
              </w:rPr>
              <w:t>7</w:t>
            </w:r>
            <w:r w:rsidRPr="006557EF">
              <w:rPr>
                <w:rFonts w:asciiTheme="majorEastAsia" w:eastAsiaTheme="majorEastAsia" w:hAnsiTheme="majorEastAsia" w:hint="eastAsia"/>
                <w:b/>
                <w:bCs/>
                <w:iCs/>
                <w:color w:val="000000"/>
                <w:kern w:val="0"/>
                <w:sz w:val="24"/>
              </w:rPr>
              <w:t>、公司土地储备情况</w:t>
            </w:r>
            <w:r>
              <w:rPr>
                <w:rFonts w:asciiTheme="majorEastAsia" w:eastAsiaTheme="majorEastAsia" w:hAnsiTheme="majorEastAsia" w:hint="eastAsia"/>
                <w:b/>
                <w:bCs/>
                <w:iCs/>
                <w:color w:val="000000"/>
                <w:kern w:val="0"/>
                <w:sz w:val="24"/>
              </w:rPr>
              <w:t>及拿地策略</w:t>
            </w:r>
          </w:p>
          <w:p w:rsidR="004356C4" w:rsidRPr="006557EF" w:rsidRDefault="004356C4" w:rsidP="000F3A3D">
            <w:pPr>
              <w:pStyle w:val="Default"/>
              <w:spacing w:line="360" w:lineRule="auto"/>
              <w:ind w:firstLineChars="200" w:firstLine="480"/>
              <w:jc w:val="both"/>
              <w:rPr>
                <w:rFonts w:asciiTheme="minorEastAsia" w:eastAsiaTheme="minorEastAsia" w:hAnsiTheme="minorEastAsia" w:cs="Times New Roman"/>
              </w:rPr>
            </w:pPr>
            <w:r w:rsidRPr="006557EF">
              <w:rPr>
                <w:rFonts w:asciiTheme="minorEastAsia" w:eastAsiaTheme="minorEastAsia" w:hAnsiTheme="minorEastAsia" w:cs="Times New Roman" w:hint="eastAsia"/>
              </w:rPr>
              <w:t>截至2018年12月31日，大悦城控股、大悦城地产开发的项目建筑面积合计已超过千万平米规模，现已布局26个城市。</w:t>
            </w:r>
          </w:p>
          <w:p w:rsidR="0008039F" w:rsidRPr="006557EF" w:rsidRDefault="004356C4" w:rsidP="00BD21BB">
            <w:pPr>
              <w:pStyle w:val="Default"/>
              <w:spacing w:line="360" w:lineRule="auto"/>
              <w:ind w:firstLineChars="200" w:firstLine="480"/>
              <w:jc w:val="both"/>
            </w:pPr>
            <w:r w:rsidRPr="006557EF">
              <w:rPr>
                <w:rFonts w:hAnsi="宋体" w:hint="eastAsia"/>
              </w:rPr>
              <w:t>未来，公司将继续以“3+X”城市群布局为主线，因城施策，重点布局京津冀、长三角、珠三角、长江中游、成渝等中国五大城市群的核心城市及周边辐射区域，在已经形成的“一线核心-二线中心-三线省域中心”分布格局基础上，以“三快两稳”投资策略为指引，</w:t>
            </w:r>
            <w:proofErr w:type="gramStart"/>
            <w:r w:rsidRPr="006557EF">
              <w:rPr>
                <w:rFonts w:hAnsi="宋体" w:hint="eastAsia"/>
              </w:rPr>
              <w:t>快稳结合</w:t>
            </w:r>
            <w:proofErr w:type="gramEnd"/>
            <w:r w:rsidRPr="006557EF">
              <w:rPr>
                <w:rFonts w:hAnsi="宋体" w:hint="eastAsia"/>
              </w:rPr>
              <w:t>，到2021年，在现有26个城市布局的基础上，进一步拓展至45-50个城市。</w:t>
            </w:r>
          </w:p>
        </w:tc>
        <w:bookmarkStart w:id="0" w:name="_GoBack"/>
        <w:bookmarkEnd w:id="0"/>
      </w:tr>
      <w:tr w:rsidR="00966F7F" w:rsidRPr="006557EF" w:rsidTr="003B6FF8">
        <w:trPr>
          <w:jc w:val="center"/>
        </w:trPr>
        <w:tc>
          <w:tcPr>
            <w:tcW w:w="1986" w:type="dxa"/>
            <w:tcBorders>
              <w:top w:val="single" w:sz="4" w:space="0" w:color="auto"/>
              <w:left w:val="single" w:sz="4" w:space="0" w:color="auto"/>
              <w:bottom w:val="single" w:sz="4" w:space="0" w:color="auto"/>
              <w:right w:val="single" w:sz="4" w:space="0" w:color="auto"/>
            </w:tcBorders>
            <w:vAlign w:val="center"/>
          </w:tcPr>
          <w:p w:rsidR="00B47804"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lastRenderedPageBreak/>
              <w:t>附件清单</w:t>
            </w:r>
          </w:p>
          <w:p w:rsidR="00966F7F" w:rsidRPr="006557EF" w:rsidRDefault="00966F7F" w:rsidP="0007612C">
            <w:pPr>
              <w:spacing w:line="276" w:lineRule="auto"/>
              <w:rPr>
                <w:rFonts w:ascii="宋体" w:hAnsi="宋体"/>
                <w:b/>
                <w:bCs/>
                <w:iCs/>
                <w:color w:val="000000"/>
                <w:sz w:val="24"/>
              </w:rPr>
            </w:pPr>
            <w:r w:rsidRPr="006557EF">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1A08BA">
            <w:pPr>
              <w:spacing w:line="480" w:lineRule="atLeast"/>
              <w:rPr>
                <w:rFonts w:ascii="宋体" w:hAnsi="宋体"/>
                <w:bCs/>
                <w:iCs/>
                <w:color w:val="000000"/>
                <w:sz w:val="24"/>
              </w:rPr>
            </w:pPr>
            <w:r w:rsidRPr="006557EF">
              <w:rPr>
                <w:rFonts w:ascii="宋体" w:hAnsi="宋体" w:hint="eastAsia"/>
                <w:bCs/>
                <w:iCs/>
                <w:color w:val="000000"/>
                <w:sz w:val="24"/>
              </w:rPr>
              <w:t>无</w:t>
            </w:r>
          </w:p>
        </w:tc>
      </w:tr>
      <w:tr w:rsidR="00966F7F" w:rsidRPr="00280AA5" w:rsidTr="003B6FF8">
        <w:trPr>
          <w:trHeight w:val="338"/>
          <w:jc w:val="center"/>
        </w:trPr>
        <w:tc>
          <w:tcPr>
            <w:tcW w:w="1986" w:type="dxa"/>
            <w:tcBorders>
              <w:top w:val="single" w:sz="4" w:space="0" w:color="auto"/>
              <w:left w:val="single" w:sz="4" w:space="0" w:color="auto"/>
              <w:bottom w:val="single" w:sz="4" w:space="0" w:color="auto"/>
              <w:right w:val="single" w:sz="4" w:space="0" w:color="auto"/>
            </w:tcBorders>
            <w:vAlign w:val="center"/>
          </w:tcPr>
          <w:p w:rsidR="00966F7F" w:rsidRPr="006557EF" w:rsidRDefault="00966F7F" w:rsidP="00C3666D">
            <w:pPr>
              <w:spacing w:line="480" w:lineRule="atLeast"/>
              <w:rPr>
                <w:rFonts w:ascii="宋体" w:hAnsi="宋体"/>
                <w:b/>
                <w:bCs/>
                <w:iCs/>
                <w:color w:val="000000"/>
                <w:sz w:val="24"/>
              </w:rPr>
            </w:pPr>
            <w:r w:rsidRPr="006557EF">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vAlign w:val="center"/>
          </w:tcPr>
          <w:p w:rsidR="00966F7F" w:rsidRPr="004C2E23" w:rsidRDefault="00966F7F" w:rsidP="009F1A88">
            <w:pPr>
              <w:spacing w:line="480" w:lineRule="atLeast"/>
              <w:rPr>
                <w:rFonts w:ascii="宋体" w:hAnsi="宋体"/>
                <w:bCs/>
                <w:iCs/>
                <w:color w:val="000000"/>
                <w:sz w:val="24"/>
              </w:rPr>
            </w:pPr>
            <w:r w:rsidRPr="006557EF">
              <w:rPr>
                <w:rFonts w:ascii="宋体" w:hAnsi="宋体" w:hint="eastAsia"/>
                <w:bCs/>
                <w:iCs/>
                <w:color w:val="000000"/>
                <w:sz w:val="24"/>
              </w:rPr>
              <w:t>201</w:t>
            </w:r>
            <w:r w:rsidR="000637CF" w:rsidRPr="006557EF">
              <w:rPr>
                <w:rFonts w:ascii="宋体" w:hAnsi="宋体" w:hint="eastAsia"/>
                <w:bCs/>
                <w:iCs/>
                <w:color w:val="000000"/>
                <w:sz w:val="24"/>
              </w:rPr>
              <w:t>9</w:t>
            </w:r>
            <w:r w:rsidR="009C0011" w:rsidRPr="006557EF">
              <w:rPr>
                <w:rFonts w:ascii="宋体" w:hAnsi="宋体" w:hint="eastAsia"/>
                <w:bCs/>
                <w:iCs/>
                <w:color w:val="000000"/>
                <w:sz w:val="24"/>
              </w:rPr>
              <w:t>年</w:t>
            </w:r>
            <w:r w:rsidR="009F1A88">
              <w:rPr>
                <w:rFonts w:ascii="宋体" w:hAnsi="宋体" w:hint="eastAsia"/>
                <w:bCs/>
                <w:iCs/>
                <w:color w:val="000000"/>
                <w:sz w:val="24"/>
              </w:rPr>
              <w:t>0</w:t>
            </w:r>
            <w:r w:rsidR="009F1A88">
              <w:rPr>
                <w:rFonts w:ascii="宋体" w:hAnsi="宋体"/>
                <w:bCs/>
                <w:iCs/>
                <w:color w:val="000000"/>
                <w:sz w:val="24"/>
              </w:rPr>
              <w:t>7</w:t>
            </w:r>
            <w:r w:rsidRPr="006557EF">
              <w:rPr>
                <w:rFonts w:ascii="宋体" w:hAnsi="宋体" w:hint="eastAsia"/>
                <w:bCs/>
                <w:iCs/>
                <w:color w:val="000000"/>
                <w:sz w:val="24"/>
              </w:rPr>
              <w:t>月</w:t>
            </w:r>
            <w:r w:rsidR="009F1A88">
              <w:rPr>
                <w:rFonts w:ascii="宋体" w:hAnsi="宋体"/>
                <w:bCs/>
                <w:iCs/>
                <w:color w:val="000000"/>
                <w:sz w:val="24"/>
              </w:rPr>
              <w:t>23</w:t>
            </w:r>
            <w:r w:rsidRPr="006557EF">
              <w:rPr>
                <w:rFonts w:ascii="宋体" w:hAnsi="宋体" w:hint="eastAsia"/>
                <w:bCs/>
                <w:iCs/>
                <w:color w:val="000000"/>
                <w:sz w:val="24"/>
              </w:rPr>
              <w:t>日</w:t>
            </w:r>
          </w:p>
        </w:tc>
      </w:tr>
    </w:tbl>
    <w:p w:rsidR="00737FB4" w:rsidRDefault="00737FB4" w:rsidP="009607DC"/>
    <w:sectPr w:rsidR="00737FB4" w:rsidSect="000C7468">
      <w:footerReference w:type="default" r:id="rId7"/>
      <w:pgSz w:w="11906" w:h="16838"/>
      <w:pgMar w:top="1440" w:right="1797" w:bottom="1440" w:left="1797"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E8" w:rsidRDefault="002D5CE8" w:rsidP="00966F7F">
      <w:r>
        <w:separator/>
      </w:r>
    </w:p>
  </w:endnote>
  <w:endnote w:type="continuationSeparator" w:id="0">
    <w:p w:rsidR="002D5CE8" w:rsidRDefault="002D5CE8" w:rsidP="009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2150"/>
      <w:docPartObj>
        <w:docPartGallery w:val="Page Numbers (Bottom of Page)"/>
        <w:docPartUnique/>
      </w:docPartObj>
    </w:sdtPr>
    <w:sdtEndPr/>
    <w:sdtContent>
      <w:p w:rsidR="00B43E31" w:rsidRDefault="00B86359" w:rsidP="00B43E31">
        <w:pPr>
          <w:pStyle w:val="a4"/>
          <w:jc w:val="center"/>
        </w:pPr>
        <w:r>
          <w:fldChar w:fldCharType="begin"/>
        </w:r>
        <w:r w:rsidR="00B43E31">
          <w:instrText>PAGE   \* MERGEFORMAT</w:instrText>
        </w:r>
        <w:r>
          <w:fldChar w:fldCharType="separate"/>
        </w:r>
        <w:r w:rsidR="009941A4" w:rsidRPr="009941A4">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E8" w:rsidRDefault="002D5CE8" w:rsidP="00966F7F">
      <w:r>
        <w:separator/>
      </w:r>
    </w:p>
  </w:footnote>
  <w:footnote w:type="continuationSeparator" w:id="0">
    <w:p w:rsidR="002D5CE8" w:rsidRDefault="002D5CE8" w:rsidP="0096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F"/>
    <w:rsid w:val="0002335B"/>
    <w:rsid w:val="000234CE"/>
    <w:rsid w:val="000235A5"/>
    <w:rsid w:val="00023DAF"/>
    <w:rsid w:val="0003021A"/>
    <w:rsid w:val="000305F3"/>
    <w:rsid w:val="00030C09"/>
    <w:rsid w:val="00034E07"/>
    <w:rsid w:val="00036000"/>
    <w:rsid w:val="00050C79"/>
    <w:rsid w:val="00051230"/>
    <w:rsid w:val="000637CF"/>
    <w:rsid w:val="000668A4"/>
    <w:rsid w:val="00070D26"/>
    <w:rsid w:val="0007612C"/>
    <w:rsid w:val="00076FC0"/>
    <w:rsid w:val="0008039F"/>
    <w:rsid w:val="0008379E"/>
    <w:rsid w:val="0008463C"/>
    <w:rsid w:val="00087F56"/>
    <w:rsid w:val="00092529"/>
    <w:rsid w:val="000954EF"/>
    <w:rsid w:val="000959A8"/>
    <w:rsid w:val="00095BB7"/>
    <w:rsid w:val="00097E4D"/>
    <w:rsid w:val="000A3E50"/>
    <w:rsid w:val="000A4523"/>
    <w:rsid w:val="000B649D"/>
    <w:rsid w:val="000C32C7"/>
    <w:rsid w:val="000C7468"/>
    <w:rsid w:val="000C7A2F"/>
    <w:rsid w:val="000D73A0"/>
    <w:rsid w:val="000D79DC"/>
    <w:rsid w:val="000E68E0"/>
    <w:rsid w:val="000F11DA"/>
    <w:rsid w:val="000F3A3D"/>
    <w:rsid w:val="000F3E3A"/>
    <w:rsid w:val="000F5493"/>
    <w:rsid w:val="000F7A1D"/>
    <w:rsid w:val="001040E9"/>
    <w:rsid w:val="001051CB"/>
    <w:rsid w:val="001079F8"/>
    <w:rsid w:val="00115E85"/>
    <w:rsid w:val="00136021"/>
    <w:rsid w:val="001423B5"/>
    <w:rsid w:val="0014298F"/>
    <w:rsid w:val="001430C8"/>
    <w:rsid w:val="00143619"/>
    <w:rsid w:val="001507D7"/>
    <w:rsid w:val="00151275"/>
    <w:rsid w:val="001518E3"/>
    <w:rsid w:val="0016033D"/>
    <w:rsid w:val="00162F36"/>
    <w:rsid w:val="00192A44"/>
    <w:rsid w:val="001979AF"/>
    <w:rsid w:val="001A08BA"/>
    <w:rsid w:val="001A1DDA"/>
    <w:rsid w:val="001A3383"/>
    <w:rsid w:val="001A51BC"/>
    <w:rsid w:val="001A63D2"/>
    <w:rsid w:val="001A6B2E"/>
    <w:rsid w:val="001A6EFD"/>
    <w:rsid w:val="001A7E82"/>
    <w:rsid w:val="001B1631"/>
    <w:rsid w:val="001B3FFF"/>
    <w:rsid w:val="001C454D"/>
    <w:rsid w:val="001D7DF1"/>
    <w:rsid w:val="001E36A5"/>
    <w:rsid w:val="001E4008"/>
    <w:rsid w:val="001E4A18"/>
    <w:rsid w:val="001F08AB"/>
    <w:rsid w:val="001F7388"/>
    <w:rsid w:val="00200009"/>
    <w:rsid w:val="00201F58"/>
    <w:rsid w:val="00206805"/>
    <w:rsid w:val="002068E6"/>
    <w:rsid w:val="00206BCA"/>
    <w:rsid w:val="002112A6"/>
    <w:rsid w:val="0021649C"/>
    <w:rsid w:val="00216EE9"/>
    <w:rsid w:val="00224017"/>
    <w:rsid w:val="0022619D"/>
    <w:rsid w:val="00234E69"/>
    <w:rsid w:val="002366A2"/>
    <w:rsid w:val="002371DB"/>
    <w:rsid w:val="00240D47"/>
    <w:rsid w:val="00253992"/>
    <w:rsid w:val="00267B1A"/>
    <w:rsid w:val="00274117"/>
    <w:rsid w:val="00276700"/>
    <w:rsid w:val="002862B0"/>
    <w:rsid w:val="002870CE"/>
    <w:rsid w:val="002A0897"/>
    <w:rsid w:val="002A0DAF"/>
    <w:rsid w:val="002A1D94"/>
    <w:rsid w:val="002A4D7E"/>
    <w:rsid w:val="002B0A23"/>
    <w:rsid w:val="002B2ADC"/>
    <w:rsid w:val="002B5D0D"/>
    <w:rsid w:val="002B606D"/>
    <w:rsid w:val="002B69B1"/>
    <w:rsid w:val="002C46B2"/>
    <w:rsid w:val="002C6111"/>
    <w:rsid w:val="002C6C67"/>
    <w:rsid w:val="002D5CE8"/>
    <w:rsid w:val="002E152D"/>
    <w:rsid w:val="002F38E0"/>
    <w:rsid w:val="002F3F62"/>
    <w:rsid w:val="002F7099"/>
    <w:rsid w:val="003001E7"/>
    <w:rsid w:val="00303028"/>
    <w:rsid w:val="00305762"/>
    <w:rsid w:val="00315DC1"/>
    <w:rsid w:val="00321050"/>
    <w:rsid w:val="00323B43"/>
    <w:rsid w:val="00324EE0"/>
    <w:rsid w:val="00325E45"/>
    <w:rsid w:val="00331B51"/>
    <w:rsid w:val="00331D38"/>
    <w:rsid w:val="00335CEC"/>
    <w:rsid w:val="00341057"/>
    <w:rsid w:val="00341BFD"/>
    <w:rsid w:val="00346F21"/>
    <w:rsid w:val="003476D9"/>
    <w:rsid w:val="0035002C"/>
    <w:rsid w:val="00355150"/>
    <w:rsid w:val="00360629"/>
    <w:rsid w:val="00363FA1"/>
    <w:rsid w:val="00372319"/>
    <w:rsid w:val="003726BC"/>
    <w:rsid w:val="00386CEB"/>
    <w:rsid w:val="0039237C"/>
    <w:rsid w:val="00395028"/>
    <w:rsid w:val="00396BE6"/>
    <w:rsid w:val="003A6A43"/>
    <w:rsid w:val="003A7DDF"/>
    <w:rsid w:val="003B1516"/>
    <w:rsid w:val="003B6FF8"/>
    <w:rsid w:val="003C1E74"/>
    <w:rsid w:val="003C2C47"/>
    <w:rsid w:val="003D37D8"/>
    <w:rsid w:val="003D5A61"/>
    <w:rsid w:val="003D69E4"/>
    <w:rsid w:val="003D7211"/>
    <w:rsid w:val="003E7EB9"/>
    <w:rsid w:val="003F0C30"/>
    <w:rsid w:val="0040110A"/>
    <w:rsid w:val="0040684A"/>
    <w:rsid w:val="00407571"/>
    <w:rsid w:val="00411261"/>
    <w:rsid w:val="00421F75"/>
    <w:rsid w:val="00426426"/>
    <w:rsid w:val="00427202"/>
    <w:rsid w:val="004356C4"/>
    <w:rsid w:val="004358AB"/>
    <w:rsid w:val="0043676E"/>
    <w:rsid w:val="0045041F"/>
    <w:rsid w:val="004508BF"/>
    <w:rsid w:val="00455325"/>
    <w:rsid w:val="00460521"/>
    <w:rsid w:val="004626B3"/>
    <w:rsid w:val="004667AB"/>
    <w:rsid w:val="00472D2B"/>
    <w:rsid w:val="00484E0C"/>
    <w:rsid w:val="00487A08"/>
    <w:rsid w:val="004953B5"/>
    <w:rsid w:val="004A6DBE"/>
    <w:rsid w:val="004A712E"/>
    <w:rsid w:val="004B6E42"/>
    <w:rsid w:val="004C3D5D"/>
    <w:rsid w:val="004D35CF"/>
    <w:rsid w:val="004D3998"/>
    <w:rsid w:val="004D5AC9"/>
    <w:rsid w:val="004E2650"/>
    <w:rsid w:val="004E4BFE"/>
    <w:rsid w:val="004F13F0"/>
    <w:rsid w:val="005026FF"/>
    <w:rsid w:val="0050639F"/>
    <w:rsid w:val="005103CE"/>
    <w:rsid w:val="00521412"/>
    <w:rsid w:val="00523749"/>
    <w:rsid w:val="00530144"/>
    <w:rsid w:val="00535B00"/>
    <w:rsid w:val="00536F52"/>
    <w:rsid w:val="005414C0"/>
    <w:rsid w:val="00551281"/>
    <w:rsid w:val="00553F85"/>
    <w:rsid w:val="00554512"/>
    <w:rsid w:val="00563AE6"/>
    <w:rsid w:val="00563AF2"/>
    <w:rsid w:val="00564F99"/>
    <w:rsid w:val="00567211"/>
    <w:rsid w:val="0057177C"/>
    <w:rsid w:val="005740F6"/>
    <w:rsid w:val="00574510"/>
    <w:rsid w:val="00577817"/>
    <w:rsid w:val="00581E0D"/>
    <w:rsid w:val="00590225"/>
    <w:rsid w:val="00592330"/>
    <w:rsid w:val="00595811"/>
    <w:rsid w:val="00596BD9"/>
    <w:rsid w:val="005971A3"/>
    <w:rsid w:val="005A17AE"/>
    <w:rsid w:val="005A1C71"/>
    <w:rsid w:val="005A2D21"/>
    <w:rsid w:val="005A6B89"/>
    <w:rsid w:val="005B2209"/>
    <w:rsid w:val="005B28F4"/>
    <w:rsid w:val="005C19E8"/>
    <w:rsid w:val="005C3383"/>
    <w:rsid w:val="005C463C"/>
    <w:rsid w:val="005C7CBB"/>
    <w:rsid w:val="005D03DE"/>
    <w:rsid w:val="005D100F"/>
    <w:rsid w:val="005D2EDB"/>
    <w:rsid w:val="005D35B3"/>
    <w:rsid w:val="005E0C1A"/>
    <w:rsid w:val="005E4177"/>
    <w:rsid w:val="005E49C7"/>
    <w:rsid w:val="005F32B9"/>
    <w:rsid w:val="005F4378"/>
    <w:rsid w:val="005F61A4"/>
    <w:rsid w:val="0060667A"/>
    <w:rsid w:val="006106D7"/>
    <w:rsid w:val="00611D81"/>
    <w:rsid w:val="00611F06"/>
    <w:rsid w:val="00621A43"/>
    <w:rsid w:val="0062535A"/>
    <w:rsid w:val="00626409"/>
    <w:rsid w:val="00633B7C"/>
    <w:rsid w:val="006341BC"/>
    <w:rsid w:val="00641160"/>
    <w:rsid w:val="00643E61"/>
    <w:rsid w:val="00651D48"/>
    <w:rsid w:val="00651DDF"/>
    <w:rsid w:val="00655293"/>
    <w:rsid w:val="006557EF"/>
    <w:rsid w:val="00656171"/>
    <w:rsid w:val="00661DC6"/>
    <w:rsid w:val="00663101"/>
    <w:rsid w:val="00672DA5"/>
    <w:rsid w:val="0067381F"/>
    <w:rsid w:val="00673C39"/>
    <w:rsid w:val="006831C9"/>
    <w:rsid w:val="00692572"/>
    <w:rsid w:val="006A26C7"/>
    <w:rsid w:val="006B3140"/>
    <w:rsid w:val="006C0CAF"/>
    <w:rsid w:val="006D07FC"/>
    <w:rsid w:val="006D1518"/>
    <w:rsid w:val="006D253A"/>
    <w:rsid w:val="006E50D2"/>
    <w:rsid w:val="006F6695"/>
    <w:rsid w:val="006F71DC"/>
    <w:rsid w:val="00707230"/>
    <w:rsid w:val="00710754"/>
    <w:rsid w:val="00730EB2"/>
    <w:rsid w:val="00731D9F"/>
    <w:rsid w:val="00736808"/>
    <w:rsid w:val="00737FB4"/>
    <w:rsid w:val="00743FE6"/>
    <w:rsid w:val="007460E3"/>
    <w:rsid w:val="007474FF"/>
    <w:rsid w:val="00747F52"/>
    <w:rsid w:val="007544CE"/>
    <w:rsid w:val="007635A9"/>
    <w:rsid w:val="00764DC6"/>
    <w:rsid w:val="0077194C"/>
    <w:rsid w:val="00774357"/>
    <w:rsid w:val="00780B1B"/>
    <w:rsid w:val="0078217F"/>
    <w:rsid w:val="007858BF"/>
    <w:rsid w:val="0079036B"/>
    <w:rsid w:val="007931A5"/>
    <w:rsid w:val="00793EC8"/>
    <w:rsid w:val="007B1201"/>
    <w:rsid w:val="007C1EFC"/>
    <w:rsid w:val="007D0C56"/>
    <w:rsid w:val="007D3587"/>
    <w:rsid w:val="007E5FE6"/>
    <w:rsid w:val="007E648F"/>
    <w:rsid w:val="007F6F3D"/>
    <w:rsid w:val="00800D3A"/>
    <w:rsid w:val="00803B9A"/>
    <w:rsid w:val="00803F30"/>
    <w:rsid w:val="00804922"/>
    <w:rsid w:val="00814A96"/>
    <w:rsid w:val="00816C32"/>
    <w:rsid w:val="008176FD"/>
    <w:rsid w:val="00820723"/>
    <w:rsid w:val="0082088F"/>
    <w:rsid w:val="00821CB8"/>
    <w:rsid w:val="0082444C"/>
    <w:rsid w:val="00824824"/>
    <w:rsid w:val="00833193"/>
    <w:rsid w:val="008346E1"/>
    <w:rsid w:val="0083565E"/>
    <w:rsid w:val="008365AE"/>
    <w:rsid w:val="008421B6"/>
    <w:rsid w:val="00856B3B"/>
    <w:rsid w:val="00860F53"/>
    <w:rsid w:val="008665C0"/>
    <w:rsid w:val="0087199A"/>
    <w:rsid w:val="00872DC3"/>
    <w:rsid w:val="00873A39"/>
    <w:rsid w:val="0087515F"/>
    <w:rsid w:val="00877220"/>
    <w:rsid w:val="00881B89"/>
    <w:rsid w:val="008837C4"/>
    <w:rsid w:val="00886A27"/>
    <w:rsid w:val="00890CE9"/>
    <w:rsid w:val="008A2339"/>
    <w:rsid w:val="008A3FFB"/>
    <w:rsid w:val="008A6037"/>
    <w:rsid w:val="008B7726"/>
    <w:rsid w:val="008C488E"/>
    <w:rsid w:val="008D0573"/>
    <w:rsid w:val="008E075B"/>
    <w:rsid w:val="008E2FBC"/>
    <w:rsid w:val="008F2479"/>
    <w:rsid w:val="008F4960"/>
    <w:rsid w:val="008F508F"/>
    <w:rsid w:val="008F5238"/>
    <w:rsid w:val="009060AF"/>
    <w:rsid w:val="009079F3"/>
    <w:rsid w:val="00912628"/>
    <w:rsid w:val="009156EA"/>
    <w:rsid w:val="00917768"/>
    <w:rsid w:val="0092067E"/>
    <w:rsid w:val="00931158"/>
    <w:rsid w:val="00933B1C"/>
    <w:rsid w:val="00934430"/>
    <w:rsid w:val="00940281"/>
    <w:rsid w:val="0094068E"/>
    <w:rsid w:val="0094679F"/>
    <w:rsid w:val="00951877"/>
    <w:rsid w:val="00951E64"/>
    <w:rsid w:val="009541D7"/>
    <w:rsid w:val="009607DC"/>
    <w:rsid w:val="00962DAD"/>
    <w:rsid w:val="00966F7F"/>
    <w:rsid w:val="0097048C"/>
    <w:rsid w:val="0097691C"/>
    <w:rsid w:val="00983062"/>
    <w:rsid w:val="00985450"/>
    <w:rsid w:val="009941A4"/>
    <w:rsid w:val="009A260F"/>
    <w:rsid w:val="009A31FF"/>
    <w:rsid w:val="009A3434"/>
    <w:rsid w:val="009A3A29"/>
    <w:rsid w:val="009B2D4E"/>
    <w:rsid w:val="009B6E22"/>
    <w:rsid w:val="009C0011"/>
    <w:rsid w:val="009C23DD"/>
    <w:rsid w:val="009C6FFE"/>
    <w:rsid w:val="009D0835"/>
    <w:rsid w:val="009D7583"/>
    <w:rsid w:val="009E017F"/>
    <w:rsid w:val="009E2BD4"/>
    <w:rsid w:val="009E5E44"/>
    <w:rsid w:val="009F0979"/>
    <w:rsid w:val="009F107F"/>
    <w:rsid w:val="009F1A88"/>
    <w:rsid w:val="009F4C49"/>
    <w:rsid w:val="009F724D"/>
    <w:rsid w:val="00A040E3"/>
    <w:rsid w:val="00A145C7"/>
    <w:rsid w:val="00A30F53"/>
    <w:rsid w:val="00A31A84"/>
    <w:rsid w:val="00A3451F"/>
    <w:rsid w:val="00A370A8"/>
    <w:rsid w:val="00A458E9"/>
    <w:rsid w:val="00A510B3"/>
    <w:rsid w:val="00A6297C"/>
    <w:rsid w:val="00A633EA"/>
    <w:rsid w:val="00A665D7"/>
    <w:rsid w:val="00A7253D"/>
    <w:rsid w:val="00A725B6"/>
    <w:rsid w:val="00A75390"/>
    <w:rsid w:val="00A75962"/>
    <w:rsid w:val="00A82B42"/>
    <w:rsid w:val="00A8584C"/>
    <w:rsid w:val="00A94F81"/>
    <w:rsid w:val="00A97BF5"/>
    <w:rsid w:val="00AA1363"/>
    <w:rsid w:val="00AA416E"/>
    <w:rsid w:val="00AA5303"/>
    <w:rsid w:val="00AA62AB"/>
    <w:rsid w:val="00AA7E4E"/>
    <w:rsid w:val="00AB220C"/>
    <w:rsid w:val="00AB3A44"/>
    <w:rsid w:val="00AB45E1"/>
    <w:rsid w:val="00AB6187"/>
    <w:rsid w:val="00AC013F"/>
    <w:rsid w:val="00AC1865"/>
    <w:rsid w:val="00AC21EB"/>
    <w:rsid w:val="00AC5360"/>
    <w:rsid w:val="00AC5F59"/>
    <w:rsid w:val="00AD01C4"/>
    <w:rsid w:val="00AD1623"/>
    <w:rsid w:val="00AE10BB"/>
    <w:rsid w:val="00AE26AC"/>
    <w:rsid w:val="00AE2C8B"/>
    <w:rsid w:val="00AE4EB9"/>
    <w:rsid w:val="00AE536A"/>
    <w:rsid w:val="00AE6DDC"/>
    <w:rsid w:val="00AF1C34"/>
    <w:rsid w:val="00B12FED"/>
    <w:rsid w:val="00B1397A"/>
    <w:rsid w:val="00B20092"/>
    <w:rsid w:val="00B228C3"/>
    <w:rsid w:val="00B323DD"/>
    <w:rsid w:val="00B33438"/>
    <w:rsid w:val="00B36F45"/>
    <w:rsid w:val="00B400A4"/>
    <w:rsid w:val="00B413B9"/>
    <w:rsid w:val="00B43E31"/>
    <w:rsid w:val="00B452E9"/>
    <w:rsid w:val="00B45E75"/>
    <w:rsid w:val="00B47804"/>
    <w:rsid w:val="00B54F07"/>
    <w:rsid w:val="00B6574A"/>
    <w:rsid w:val="00B70C6B"/>
    <w:rsid w:val="00B723D3"/>
    <w:rsid w:val="00B73027"/>
    <w:rsid w:val="00B766F8"/>
    <w:rsid w:val="00B818B3"/>
    <w:rsid w:val="00B86359"/>
    <w:rsid w:val="00B86D44"/>
    <w:rsid w:val="00B952A1"/>
    <w:rsid w:val="00B962E0"/>
    <w:rsid w:val="00B964AA"/>
    <w:rsid w:val="00BA3C30"/>
    <w:rsid w:val="00BA41EA"/>
    <w:rsid w:val="00BA4356"/>
    <w:rsid w:val="00BA4569"/>
    <w:rsid w:val="00BB2BDE"/>
    <w:rsid w:val="00BB3C05"/>
    <w:rsid w:val="00BB4916"/>
    <w:rsid w:val="00BB4B5D"/>
    <w:rsid w:val="00BB5D3F"/>
    <w:rsid w:val="00BB767F"/>
    <w:rsid w:val="00BC0E9B"/>
    <w:rsid w:val="00BC47A2"/>
    <w:rsid w:val="00BC6C08"/>
    <w:rsid w:val="00BD1E5E"/>
    <w:rsid w:val="00BD21BB"/>
    <w:rsid w:val="00BD61FA"/>
    <w:rsid w:val="00BF0C1C"/>
    <w:rsid w:val="00BF2D39"/>
    <w:rsid w:val="00BF52D5"/>
    <w:rsid w:val="00BF5AE1"/>
    <w:rsid w:val="00C11442"/>
    <w:rsid w:val="00C1434A"/>
    <w:rsid w:val="00C2295F"/>
    <w:rsid w:val="00C23DFD"/>
    <w:rsid w:val="00C324B7"/>
    <w:rsid w:val="00C33D03"/>
    <w:rsid w:val="00C3666D"/>
    <w:rsid w:val="00C36C29"/>
    <w:rsid w:val="00C37846"/>
    <w:rsid w:val="00C379D7"/>
    <w:rsid w:val="00C37AF8"/>
    <w:rsid w:val="00C44266"/>
    <w:rsid w:val="00C54530"/>
    <w:rsid w:val="00C677A4"/>
    <w:rsid w:val="00C72292"/>
    <w:rsid w:val="00C74153"/>
    <w:rsid w:val="00C75592"/>
    <w:rsid w:val="00C777E7"/>
    <w:rsid w:val="00C80499"/>
    <w:rsid w:val="00C873CC"/>
    <w:rsid w:val="00C94705"/>
    <w:rsid w:val="00CA351A"/>
    <w:rsid w:val="00CA7C79"/>
    <w:rsid w:val="00CB6D5A"/>
    <w:rsid w:val="00CC1402"/>
    <w:rsid w:val="00CD52B2"/>
    <w:rsid w:val="00CE25B7"/>
    <w:rsid w:val="00CE7698"/>
    <w:rsid w:val="00CF3E6B"/>
    <w:rsid w:val="00D03EDA"/>
    <w:rsid w:val="00D05AF9"/>
    <w:rsid w:val="00D06315"/>
    <w:rsid w:val="00D0686C"/>
    <w:rsid w:val="00D153B9"/>
    <w:rsid w:val="00D15B01"/>
    <w:rsid w:val="00D364DD"/>
    <w:rsid w:val="00D407E0"/>
    <w:rsid w:val="00D4316D"/>
    <w:rsid w:val="00D43ECA"/>
    <w:rsid w:val="00D47431"/>
    <w:rsid w:val="00D47FFE"/>
    <w:rsid w:val="00D52057"/>
    <w:rsid w:val="00D545C0"/>
    <w:rsid w:val="00D637EC"/>
    <w:rsid w:val="00D674DE"/>
    <w:rsid w:val="00D70C5E"/>
    <w:rsid w:val="00D823DA"/>
    <w:rsid w:val="00D85094"/>
    <w:rsid w:val="00D964D3"/>
    <w:rsid w:val="00DA0A0F"/>
    <w:rsid w:val="00DA2FA7"/>
    <w:rsid w:val="00DA58F2"/>
    <w:rsid w:val="00DB7D16"/>
    <w:rsid w:val="00DC6CF0"/>
    <w:rsid w:val="00DD34B8"/>
    <w:rsid w:val="00DE4277"/>
    <w:rsid w:val="00DF3E78"/>
    <w:rsid w:val="00DF672D"/>
    <w:rsid w:val="00E04A48"/>
    <w:rsid w:val="00E05DA2"/>
    <w:rsid w:val="00E06913"/>
    <w:rsid w:val="00E11004"/>
    <w:rsid w:val="00E23CBC"/>
    <w:rsid w:val="00E270D7"/>
    <w:rsid w:val="00E320CD"/>
    <w:rsid w:val="00E36243"/>
    <w:rsid w:val="00E36DD8"/>
    <w:rsid w:val="00E3726D"/>
    <w:rsid w:val="00E432C1"/>
    <w:rsid w:val="00E43E0C"/>
    <w:rsid w:val="00E45CCD"/>
    <w:rsid w:val="00E47849"/>
    <w:rsid w:val="00E4792D"/>
    <w:rsid w:val="00E5135F"/>
    <w:rsid w:val="00E537D4"/>
    <w:rsid w:val="00E62096"/>
    <w:rsid w:val="00E70118"/>
    <w:rsid w:val="00E71EC5"/>
    <w:rsid w:val="00E8623B"/>
    <w:rsid w:val="00E90AA7"/>
    <w:rsid w:val="00E927A7"/>
    <w:rsid w:val="00E96435"/>
    <w:rsid w:val="00EA5A39"/>
    <w:rsid w:val="00EB2B55"/>
    <w:rsid w:val="00EB463D"/>
    <w:rsid w:val="00EB5FF5"/>
    <w:rsid w:val="00EC1473"/>
    <w:rsid w:val="00EC7902"/>
    <w:rsid w:val="00EC7AEB"/>
    <w:rsid w:val="00ED5761"/>
    <w:rsid w:val="00EE4BBF"/>
    <w:rsid w:val="00EF2EE3"/>
    <w:rsid w:val="00EF5F2E"/>
    <w:rsid w:val="00F00C19"/>
    <w:rsid w:val="00F04461"/>
    <w:rsid w:val="00F052DE"/>
    <w:rsid w:val="00F063A4"/>
    <w:rsid w:val="00F07A0F"/>
    <w:rsid w:val="00F10408"/>
    <w:rsid w:val="00F10C89"/>
    <w:rsid w:val="00F115AF"/>
    <w:rsid w:val="00F13F38"/>
    <w:rsid w:val="00F15DDE"/>
    <w:rsid w:val="00F162E8"/>
    <w:rsid w:val="00F2716F"/>
    <w:rsid w:val="00F33239"/>
    <w:rsid w:val="00F40035"/>
    <w:rsid w:val="00F40BEA"/>
    <w:rsid w:val="00F43C24"/>
    <w:rsid w:val="00F46500"/>
    <w:rsid w:val="00F53D22"/>
    <w:rsid w:val="00F62262"/>
    <w:rsid w:val="00F67277"/>
    <w:rsid w:val="00F7002B"/>
    <w:rsid w:val="00F71BD4"/>
    <w:rsid w:val="00F72C02"/>
    <w:rsid w:val="00F73617"/>
    <w:rsid w:val="00F7613D"/>
    <w:rsid w:val="00F81A8C"/>
    <w:rsid w:val="00F956EF"/>
    <w:rsid w:val="00FA0B97"/>
    <w:rsid w:val="00FA322C"/>
    <w:rsid w:val="00FA57BC"/>
    <w:rsid w:val="00FC1072"/>
    <w:rsid w:val="00FD1DF6"/>
    <w:rsid w:val="00FD594F"/>
    <w:rsid w:val="00FD6402"/>
    <w:rsid w:val="00FE052B"/>
    <w:rsid w:val="00FE4D79"/>
    <w:rsid w:val="00FE5AF7"/>
    <w:rsid w:val="00FE7179"/>
    <w:rsid w:val="00FF07F4"/>
    <w:rsid w:val="00FF30AB"/>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0F79A-79C6-4647-8800-EC54EBCF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 w:type="paragraph" w:customStyle="1" w:styleId="005">
    <w:name w:val="005正文"/>
    <w:basedOn w:val="a"/>
    <w:link w:val="005Char"/>
    <w:rsid w:val="00360629"/>
    <w:pPr>
      <w:spacing w:beforeLines="50" w:afterLines="50" w:line="360" w:lineRule="auto"/>
      <w:ind w:firstLineChars="200" w:firstLine="200"/>
    </w:pPr>
    <w:rPr>
      <w:sz w:val="24"/>
      <w:szCs w:val="22"/>
    </w:rPr>
  </w:style>
  <w:style w:type="character" w:customStyle="1" w:styleId="005Char">
    <w:name w:val="005正文 Char"/>
    <w:link w:val="005"/>
    <w:rsid w:val="00360629"/>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445">
      <w:bodyDiv w:val="1"/>
      <w:marLeft w:val="0"/>
      <w:marRight w:val="0"/>
      <w:marTop w:val="0"/>
      <w:marBottom w:val="0"/>
      <w:divBdr>
        <w:top w:val="none" w:sz="0" w:space="0" w:color="auto"/>
        <w:left w:val="none" w:sz="0" w:space="0" w:color="auto"/>
        <w:bottom w:val="none" w:sz="0" w:space="0" w:color="auto"/>
        <w:right w:val="none" w:sz="0" w:space="0" w:color="auto"/>
      </w:divBdr>
      <w:divsChild>
        <w:div w:id="1645692624">
          <w:marLeft w:val="0"/>
          <w:marRight w:val="0"/>
          <w:marTop w:val="0"/>
          <w:marBottom w:val="0"/>
          <w:divBdr>
            <w:top w:val="none" w:sz="0" w:space="0" w:color="auto"/>
            <w:left w:val="none" w:sz="0" w:space="0" w:color="auto"/>
            <w:bottom w:val="none" w:sz="0" w:space="0" w:color="auto"/>
            <w:right w:val="none" w:sz="0" w:space="0" w:color="auto"/>
          </w:divBdr>
        </w:div>
        <w:div w:id="699932761">
          <w:marLeft w:val="0"/>
          <w:marRight w:val="0"/>
          <w:marTop w:val="0"/>
          <w:marBottom w:val="0"/>
          <w:divBdr>
            <w:top w:val="none" w:sz="0" w:space="0" w:color="auto"/>
            <w:left w:val="none" w:sz="0" w:space="0" w:color="auto"/>
            <w:bottom w:val="none" w:sz="0" w:space="0" w:color="auto"/>
            <w:right w:val="none" w:sz="0" w:space="0" w:color="auto"/>
          </w:divBdr>
        </w:div>
      </w:divsChild>
    </w:div>
    <w:div w:id="145705125">
      <w:bodyDiv w:val="1"/>
      <w:marLeft w:val="0"/>
      <w:marRight w:val="0"/>
      <w:marTop w:val="0"/>
      <w:marBottom w:val="0"/>
      <w:divBdr>
        <w:top w:val="none" w:sz="0" w:space="0" w:color="auto"/>
        <w:left w:val="none" w:sz="0" w:space="0" w:color="auto"/>
        <w:bottom w:val="none" w:sz="0" w:space="0" w:color="auto"/>
        <w:right w:val="none" w:sz="0" w:space="0" w:color="auto"/>
      </w:divBdr>
    </w:div>
    <w:div w:id="162471342">
      <w:bodyDiv w:val="1"/>
      <w:marLeft w:val="0"/>
      <w:marRight w:val="0"/>
      <w:marTop w:val="0"/>
      <w:marBottom w:val="0"/>
      <w:divBdr>
        <w:top w:val="none" w:sz="0" w:space="0" w:color="auto"/>
        <w:left w:val="none" w:sz="0" w:space="0" w:color="auto"/>
        <w:bottom w:val="none" w:sz="0" w:space="0" w:color="auto"/>
        <w:right w:val="none" w:sz="0" w:space="0" w:color="auto"/>
      </w:divBdr>
      <w:divsChild>
        <w:div w:id="2022394988">
          <w:marLeft w:val="0"/>
          <w:marRight w:val="0"/>
          <w:marTop w:val="0"/>
          <w:marBottom w:val="0"/>
          <w:divBdr>
            <w:top w:val="none" w:sz="0" w:space="0" w:color="auto"/>
            <w:left w:val="none" w:sz="0" w:space="0" w:color="auto"/>
            <w:bottom w:val="none" w:sz="0" w:space="0" w:color="auto"/>
            <w:right w:val="none" w:sz="0" w:space="0" w:color="auto"/>
          </w:divBdr>
        </w:div>
        <w:div w:id="1935480303">
          <w:marLeft w:val="0"/>
          <w:marRight w:val="0"/>
          <w:marTop w:val="0"/>
          <w:marBottom w:val="0"/>
          <w:divBdr>
            <w:top w:val="none" w:sz="0" w:space="0" w:color="auto"/>
            <w:left w:val="none" w:sz="0" w:space="0" w:color="auto"/>
            <w:bottom w:val="none" w:sz="0" w:space="0" w:color="auto"/>
            <w:right w:val="none" w:sz="0" w:space="0" w:color="auto"/>
          </w:divBdr>
        </w:div>
      </w:divsChild>
    </w:div>
    <w:div w:id="894270909">
      <w:bodyDiv w:val="1"/>
      <w:marLeft w:val="0"/>
      <w:marRight w:val="0"/>
      <w:marTop w:val="0"/>
      <w:marBottom w:val="0"/>
      <w:divBdr>
        <w:top w:val="none" w:sz="0" w:space="0" w:color="auto"/>
        <w:left w:val="none" w:sz="0" w:space="0" w:color="auto"/>
        <w:bottom w:val="none" w:sz="0" w:space="0" w:color="auto"/>
        <w:right w:val="none" w:sz="0" w:space="0" w:color="auto"/>
      </w:divBdr>
    </w:div>
    <w:div w:id="1327514606">
      <w:bodyDiv w:val="1"/>
      <w:marLeft w:val="0"/>
      <w:marRight w:val="0"/>
      <w:marTop w:val="0"/>
      <w:marBottom w:val="0"/>
      <w:divBdr>
        <w:top w:val="none" w:sz="0" w:space="0" w:color="auto"/>
        <w:left w:val="none" w:sz="0" w:space="0" w:color="auto"/>
        <w:bottom w:val="none" w:sz="0" w:space="0" w:color="auto"/>
        <w:right w:val="none" w:sz="0" w:space="0" w:color="auto"/>
      </w:divBdr>
      <w:divsChild>
        <w:div w:id="1606041001">
          <w:marLeft w:val="0"/>
          <w:marRight w:val="0"/>
          <w:marTop w:val="0"/>
          <w:marBottom w:val="0"/>
          <w:divBdr>
            <w:top w:val="none" w:sz="0" w:space="0" w:color="auto"/>
            <w:left w:val="none" w:sz="0" w:space="0" w:color="auto"/>
            <w:bottom w:val="none" w:sz="0" w:space="0" w:color="auto"/>
            <w:right w:val="none" w:sz="0" w:space="0" w:color="auto"/>
          </w:divBdr>
        </w:div>
        <w:div w:id="163595014">
          <w:marLeft w:val="0"/>
          <w:marRight w:val="0"/>
          <w:marTop w:val="0"/>
          <w:marBottom w:val="0"/>
          <w:divBdr>
            <w:top w:val="none" w:sz="0" w:space="0" w:color="auto"/>
            <w:left w:val="none" w:sz="0" w:space="0" w:color="auto"/>
            <w:bottom w:val="none" w:sz="0" w:space="0" w:color="auto"/>
            <w:right w:val="none" w:sz="0" w:space="0" w:color="auto"/>
          </w:divBdr>
        </w:div>
      </w:divsChild>
    </w:div>
    <w:div w:id="1496604842">
      <w:bodyDiv w:val="1"/>
      <w:marLeft w:val="0"/>
      <w:marRight w:val="0"/>
      <w:marTop w:val="0"/>
      <w:marBottom w:val="0"/>
      <w:divBdr>
        <w:top w:val="none" w:sz="0" w:space="0" w:color="auto"/>
        <w:left w:val="none" w:sz="0" w:space="0" w:color="auto"/>
        <w:bottom w:val="none" w:sz="0" w:space="0" w:color="auto"/>
        <w:right w:val="none" w:sz="0" w:space="0" w:color="auto"/>
      </w:divBdr>
      <w:divsChild>
        <w:div w:id="88157370">
          <w:marLeft w:val="0"/>
          <w:marRight w:val="0"/>
          <w:marTop w:val="0"/>
          <w:marBottom w:val="0"/>
          <w:divBdr>
            <w:top w:val="none" w:sz="0" w:space="0" w:color="auto"/>
            <w:left w:val="none" w:sz="0" w:space="0" w:color="auto"/>
            <w:bottom w:val="none" w:sz="0" w:space="0" w:color="auto"/>
            <w:right w:val="none" w:sz="0" w:space="0" w:color="auto"/>
          </w:divBdr>
        </w:div>
        <w:div w:id="2022049021">
          <w:marLeft w:val="0"/>
          <w:marRight w:val="0"/>
          <w:marTop w:val="0"/>
          <w:marBottom w:val="0"/>
          <w:divBdr>
            <w:top w:val="none" w:sz="0" w:space="0" w:color="auto"/>
            <w:left w:val="none" w:sz="0" w:space="0" w:color="auto"/>
            <w:bottom w:val="none" w:sz="0" w:space="0" w:color="auto"/>
            <w:right w:val="none" w:sz="0" w:space="0" w:color="auto"/>
          </w:divBdr>
        </w:div>
      </w:divsChild>
    </w:div>
    <w:div w:id="1736003171">
      <w:bodyDiv w:val="1"/>
      <w:marLeft w:val="0"/>
      <w:marRight w:val="0"/>
      <w:marTop w:val="0"/>
      <w:marBottom w:val="0"/>
      <w:divBdr>
        <w:top w:val="none" w:sz="0" w:space="0" w:color="auto"/>
        <w:left w:val="none" w:sz="0" w:space="0" w:color="auto"/>
        <w:bottom w:val="none" w:sz="0" w:space="0" w:color="auto"/>
        <w:right w:val="none" w:sz="0" w:space="0" w:color="auto"/>
      </w:divBdr>
      <w:divsChild>
        <w:div w:id="1338075543">
          <w:marLeft w:val="0"/>
          <w:marRight w:val="0"/>
          <w:marTop w:val="0"/>
          <w:marBottom w:val="0"/>
          <w:divBdr>
            <w:top w:val="none" w:sz="0" w:space="0" w:color="auto"/>
            <w:left w:val="none" w:sz="0" w:space="0" w:color="auto"/>
            <w:bottom w:val="none" w:sz="0" w:space="0" w:color="auto"/>
            <w:right w:val="none" w:sz="0" w:space="0" w:color="auto"/>
          </w:divBdr>
        </w:div>
        <w:div w:id="2046909756">
          <w:marLeft w:val="0"/>
          <w:marRight w:val="0"/>
          <w:marTop w:val="0"/>
          <w:marBottom w:val="0"/>
          <w:divBdr>
            <w:top w:val="none" w:sz="0" w:space="0" w:color="auto"/>
            <w:left w:val="none" w:sz="0" w:space="0" w:color="auto"/>
            <w:bottom w:val="none" w:sz="0" w:space="0" w:color="auto"/>
            <w:right w:val="none" w:sz="0" w:space="0" w:color="auto"/>
          </w:divBdr>
        </w:div>
      </w:divsChild>
    </w:div>
    <w:div w:id="2096435613">
      <w:bodyDiv w:val="1"/>
      <w:marLeft w:val="0"/>
      <w:marRight w:val="0"/>
      <w:marTop w:val="0"/>
      <w:marBottom w:val="0"/>
      <w:divBdr>
        <w:top w:val="none" w:sz="0" w:space="0" w:color="auto"/>
        <w:left w:val="none" w:sz="0" w:space="0" w:color="auto"/>
        <w:bottom w:val="none" w:sz="0" w:space="0" w:color="auto"/>
        <w:right w:val="none" w:sz="0" w:space="0" w:color="auto"/>
      </w:divBdr>
      <w:divsChild>
        <w:div w:id="2020112567">
          <w:marLeft w:val="0"/>
          <w:marRight w:val="0"/>
          <w:marTop w:val="0"/>
          <w:marBottom w:val="0"/>
          <w:divBdr>
            <w:top w:val="none" w:sz="0" w:space="0" w:color="auto"/>
            <w:left w:val="none" w:sz="0" w:space="0" w:color="auto"/>
            <w:bottom w:val="none" w:sz="0" w:space="0" w:color="auto"/>
            <w:right w:val="none" w:sz="0" w:space="0" w:color="auto"/>
          </w:divBdr>
        </w:div>
        <w:div w:id="7865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葛彦彤</cp:lastModifiedBy>
  <cp:revision>3</cp:revision>
  <cp:lastPrinted>2019-07-24T08:24:00Z</cp:lastPrinted>
  <dcterms:created xsi:type="dcterms:W3CDTF">2019-07-24T08:50:00Z</dcterms:created>
  <dcterms:modified xsi:type="dcterms:W3CDTF">2019-07-24T08:50:00Z</dcterms:modified>
</cp:coreProperties>
</file>