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261" w:type="dxa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Cs/>
                <w:sz w:val="24"/>
              </w:rPr>
              <w:t>证券代码：002809</w:t>
            </w:r>
          </w:p>
        </w:tc>
        <w:tc>
          <w:tcPr>
            <w:tcW w:w="4261" w:type="dxa"/>
          </w:tcPr>
          <w:p>
            <w:pPr>
              <w:jc w:val="righ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证券简称：红墙股份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24"/>
        </w:rPr>
      </w:pPr>
    </w:p>
    <w:p>
      <w:pPr>
        <w:jc w:val="center"/>
        <w:rPr>
          <w:rFonts w:cs="SimSun,Bold" w:asciiTheme="minorEastAsia" w:hAnsiTheme="minorEastAsia"/>
          <w:b/>
          <w:bCs/>
          <w:kern w:val="0"/>
          <w:sz w:val="30"/>
          <w:szCs w:val="30"/>
        </w:rPr>
      </w:pPr>
      <w:r>
        <w:rPr>
          <w:rFonts w:hint="eastAsia" w:cs="SimSun,Bold" w:asciiTheme="minorEastAsia" w:hAnsiTheme="minorEastAsia"/>
          <w:b/>
          <w:bCs/>
          <w:kern w:val="0"/>
          <w:sz w:val="30"/>
          <w:szCs w:val="30"/>
        </w:rPr>
        <w:t>广东红墙新材料股份有限公司投资者关系活动记录表</w:t>
      </w:r>
    </w:p>
    <w:p>
      <w:pPr>
        <w:jc w:val="right"/>
        <w:rPr>
          <w:rFonts w:asciiTheme="minorEastAsia" w:hAnsiTheme="minorEastAsia" w:cstheme="minorEastAsia"/>
          <w:b/>
          <w:bCs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编号：IR-201</w:t>
      </w:r>
      <w:r>
        <w:rPr>
          <w:rFonts w:asciiTheme="minorEastAsia" w:hAnsiTheme="minorEastAsia" w:cstheme="minorEastAsia"/>
          <w:b/>
          <w:bCs/>
          <w:kern w:val="0"/>
          <w:sz w:val="24"/>
        </w:rPr>
        <w:t>9</w:t>
      </w:r>
      <w:r>
        <w:rPr>
          <w:rFonts w:hint="eastAsia" w:asciiTheme="minorEastAsia" w:hAnsiTheme="minorEastAsia" w:cstheme="minorEastAsia"/>
          <w:b/>
          <w:bCs/>
          <w:kern w:val="0"/>
          <w:sz w:val="24"/>
        </w:rPr>
        <w:t>-0</w:t>
      </w:r>
      <w:r>
        <w:rPr>
          <w:rFonts w:asciiTheme="minorEastAsia" w:hAnsiTheme="minorEastAsia" w:cstheme="minorEastAsia"/>
          <w:b/>
          <w:bCs/>
          <w:kern w:val="0"/>
          <w:sz w:val="24"/>
        </w:rPr>
        <w:t>06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SimSun,Bold" w:asciiTheme="minorEastAsia" w:hAnsi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投资者关系活动类别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sym w:font="Wingdings 2" w:char="0052"/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特定对象调研□分析师会议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□媒体采访□业绩说明会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□新闻发布会□路演活动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□现场参观</w:t>
            </w:r>
          </w:p>
          <w:p>
            <w:pPr>
              <w:jc w:val="left"/>
              <w:rPr>
                <w:rFonts w:cs="SimSun,Bold" w:asciiTheme="minorEastAsia" w:hAnsiTheme="minor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□其他（</w:t>
            </w:r>
            <w:r>
              <w:rPr>
                <w:rFonts w:hint="eastAsia" w:cs="宋体" w:asciiTheme="minorEastAsia" w:hAnsiTheme="minorEastAsia"/>
                <w:kern w:val="0"/>
                <w:sz w:val="24"/>
                <w:u w:val="single"/>
              </w:rPr>
              <w:t>请文字说明其他活动内容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87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参与单位名称及人员姓名</w:t>
            </w:r>
          </w:p>
        </w:tc>
        <w:tc>
          <w:tcPr>
            <w:tcW w:w="70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牛散大学堂校长 吴国平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广东珀源私募证券投资基金管理有限公司：杨涛、郑栩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广州国平才富信息科技有限公司：陈华凤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时间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</w:t>
            </w:r>
            <w:r>
              <w:rPr>
                <w:rFonts w:cs="宋体" w:asciiTheme="minorEastAsia" w:hAnsi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年</w:t>
            </w:r>
            <w:r>
              <w:rPr>
                <w:rFonts w:cs="宋体" w:asciiTheme="minorEastAsia" w:hAnsiTheme="minorEastAsia"/>
                <w:kern w:val="0"/>
                <w:sz w:val="24"/>
              </w:rPr>
              <w:t>07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月</w:t>
            </w:r>
            <w:r>
              <w:rPr>
                <w:rFonts w:cs="宋体" w:asciiTheme="minorEastAsia" w:hAnsiTheme="minorEastAsia"/>
                <w:kern w:val="0"/>
                <w:sz w:val="24"/>
              </w:rPr>
              <w:t>23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日</w:t>
            </w:r>
            <w:r>
              <w:rPr>
                <w:rFonts w:cs="宋体" w:asciiTheme="minorEastAsia" w:hAnsiTheme="minorEastAsia"/>
                <w:kern w:val="0"/>
                <w:sz w:val="24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:</w:t>
            </w:r>
            <w:r>
              <w:rPr>
                <w:rFonts w:cs="宋体" w:asciiTheme="minorEastAsia" w:hAnsiTheme="minorEastAsia"/>
                <w:kern w:val="0"/>
                <w:sz w:val="24"/>
              </w:rPr>
              <w:t>00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</w:t>
            </w:r>
            <w:r>
              <w:rPr>
                <w:rFonts w:cs="宋体" w:asciiTheme="minorEastAsia" w:hAnsiTheme="minorEastAsia"/>
                <w:kern w:val="0"/>
                <w:sz w:val="24"/>
              </w:rPr>
              <w:t>13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:</w:t>
            </w:r>
            <w:r>
              <w:rPr>
                <w:rFonts w:cs="宋体" w:asciiTheme="minorEastAsia" w:hAnsiTheme="minorEastAsia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地点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红墙股份</w:t>
            </w:r>
            <w:r>
              <w:rPr>
                <w:rFonts w:cs="宋体" w:asciiTheme="minorEastAsia" w:hAnsiTheme="minorEastAsia"/>
                <w:kern w:val="0"/>
                <w:sz w:val="24"/>
              </w:rPr>
              <w:t>总部会议室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上市公司接待人员姓名</w:t>
            </w:r>
          </w:p>
        </w:tc>
        <w:tc>
          <w:tcPr>
            <w:tcW w:w="703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财务总监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、投资总监</w:t>
            </w:r>
            <w:r>
              <w:rPr>
                <w:rFonts w:cs="宋体" w:asciiTheme="minorEastAsia" w:hAnsiTheme="minorEastAsia"/>
                <w:kern w:val="0"/>
                <w:sz w:val="24"/>
              </w:rPr>
              <w:t xml:space="preserve"> 董杰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董事会秘书 程占省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</w:rPr>
              <w:t>投资经理 殷钊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投资者关系活动主要内容介绍</w:t>
            </w:r>
          </w:p>
        </w:tc>
        <w:tc>
          <w:tcPr>
            <w:tcW w:w="7035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以介绍和互动问答结合的形式与投资者进行交流，内容如下：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请介绍一下混凝土外加剂的作用</w:t>
            </w:r>
          </w:p>
          <w:p>
            <w:pPr>
              <w:pStyle w:val="11"/>
              <w:spacing w:line="360" w:lineRule="auto"/>
              <w:ind w:left="-65" w:leftChars="-31" w:firstLine="484" w:firstLineChars="202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混凝土外加剂，简称外加剂，是在混泥土拌合前或拌和过程中加入的用以改善混凝土性质的物质，现已成为除水泥、砂、石、水之外不可或缺的第五组份。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对下游客户来说，使用混凝土外加剂可以提升其产品性能、降低成本、提高施工效率。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行业的市场规模和竞争格局情况</w:t>
            </w:r>
          </w:p>
          <w:p>
            <w:pPr>
              <w:pStyle w:val="11"/>
              <w:spacing w:line="360" w:lineRule="auto"/>
              <w:ind w:left="-65" w:leftChars="-31" w:firstLine="484" w:firstLineChars="202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中国建筑材料联合会混凝土外加剂分会每2年统计一次行业情况，据统计，2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017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年全国混凝土外加剂产量1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399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万吨，折算成销售额约5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亿元。</w:t>
            </w:r>
          </w:p>
          <w:p>
            <w:pPr>
              <w:pStyle w:val="11"/>
              <w:spacing w:line="360" w:lineRule="auto"/>
              <w:ind w:left="-65" w:leftChars="-31" w:firstLine="484" w:firstLineChars="202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混凝土外加剂行业目前集中度不高，正处在一个集中度提升的过程：目前行业前三名苏博特、建研集团和我们均在A股上市，据我们统计，2016年、2017年、2018年行业前三名市场占有率合计分别为4.76%、6.59%、9.15%。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行业集中度提升的内在原因是什么</w:t>
            </w:r>
          </w:p>
          <w:p>
            <w:pPr>
              <w:pStyle w:val="11"/>
              <w:spacing w:line="360" w:lineRule="auto"/>
              <w:ind w:left="-65" w:leftChars="-31" w:firstLine="484" w:firstLineChars="202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据我们统计2018年的数据，苏博特、建研集团和我们混凝土外加剂的销售收入同比增长幅度分别为37.88%、38.55%和43.10%，远高于行业增幅；我们在西南、华南地区销售收入同比增长327.96%、39.04%。市场份额向龙头企业集中的趋势明显，我们认为原因主要有以下几点：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-65" w:leftChars="-31" w:firstLine="484" w:firstLineChars="202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龙头企业研发实力更强：混凝土原材料的品质比从前更加复杂，对外加剂生产企业配方调整能力及速度比过去更高，行业的技术门槛越来越高，大企业凭借更强的合成技术优势及配方快速调节能力占优。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-65" w:leftChars="-31" w:firstLine="484" w:firstLineChars="202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融资能力更强：行业存在下游占款较多、账期较长的特点，大企业凭借更稳定的渠道回款保障及更强融资优势获胜。行业前三陆续进入资本市场，有较强的扩张需求，融资的便利性及低成本是同行非上市公司无法比的，行业内上市公司是最大的受益者。</w:t>
            </w:r>
          </w:p>
          <w:p>
            <w:pPr>
              <w:pStyle w:val="11"/>
              <w:numPr>
                <w:ilvl w:val="0"/>
                <w:numId w:val="2"/>
              </w:numPr>
              <w:spacing w:line="360" w:lineRule="auto"/>
              <w:ind w:left="-65" w:leftChars="-31" w:firstLine="484" w:firstLineChars="202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龙头企业更为合规：2016年以来环保约束较严，倒逼部分环保不达标小企业出清市场。龙头企业一般多是前期环保投入方面更加到位，生产排放也符合要求，在行业环保大洗牌中有望脱颖。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红墙股份在同行业上市公司中具有哪些竞争优势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按照外加剂的销售收入计算，我们在三家上市公司中排第三名。如果比较经营效率，我们排第一：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远高于竞争对手的销售净利率：我们的外加剂毛利率不是最高，但外加剂的销售净利率一直是最高的，以2018年为例，我们外加剂的销售净利率为13.86%，主要竞争对手为6.57%。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远低于竞争对手的期间费用比率：以2018年为例，我们的管理费用占收入比和销售费用占收入比分别为5.71%和7.33%，主要竞争对手对应的数据分别为10.92%和14.76%。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远高于竞争对手的人均指标：以2018年为例，我们的人均外加剂净利润为24万元/人，主要竞争对手人均外加剂净利润为12万元/人。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优于竞争对手的应收账款管理水平：以2018年为例，我们的应收账款周转天数为158天，一年以内应收账款占应收账款比例为95.58%；主要竞争对手的应收账款周转天数为219天，一年以内应收账款占应收账款比例为92.22%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极低的负债水平：我们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一直保持低杠杆运行的稳健策略，2</w:t>
            </w:r>
            <w:r>
              <w:rPr>
                <w:rFonts w:ascii="宋体" w:hAnsi="宋体" w:eastAsia="宋体" w:cs="宋体"/>
                <w:bCs/>
                <w:sz w:val="24"/>
              </w:rPr>
              <w:t>016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年底、2</w:t>
            </w:r>
            <w:r>
              <w:rPr>
                <w:rFonts w:ascii="宋体" w:hAnsi="宋体" w:eastAsia="宋体" w:cs="宋体"/>
                <w:bCs/>
                <w:sz w:val="24"/>
              </w:rPr>
              <w:t>017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年底</w:t>
            </w:r>
            <w:r>
              <w:rPr>
                <w:rFonts w:ascii="宋体" w:hAnsi="宋体" w:eastAsia="宋体" w:cs="宋体"/>
                <w:bCs/>
                <w:sz w:val="24"/>
              </w:rPr>
              <w:t>、2018年底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，</w:t>
            </w:r>
            <w:r>
              <w:rPr>
                <w:rFonts w:ascii="宋体" w:hAnsi="宋体" w:eastAsia="宋体" w:cs="宋体"/>
                <w:bCs/>
                <w:sz w:val="24"/>
              </w:rPr>
              <w:t>主要竞争对手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资产负债率分别为5</w:t>
            </w:r>
            <w:r>
              <w:rPr>
                <w:rFonts w:ascii="宋体" w:hAnsi="宋体" w:eastAsia="宋体" w:cs="宋体"/>
                <w:bCs/>
                <w:sz w:val="24"/>
              </w:rPr>
              <w:t>2.53%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、3</w:t>
            </w:r>
            <w:r>
              <w:rPr>
                <w:rFonts w:ascii="宋体" w:hAnsi="宋体" w:eastAsia="宋体" w:cs="宋体"/>
                <w:bCs/>
                <w:sz w:val="24"/>
              </w:rPr>
              <w:t>1.18%、40.77%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，</w:t>
            </w:r>
            <w:r>
              <w:rPr>
                <w:rFonts w:ascii="宋体" w:hAnsi="宋体" w:eastAsia="宋体" w:cs="宋体"/>
                <w:bCs/>
                <w:sz w:val="24"/>
              </w:rPr>
              <w:t>我们的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资产负债率分别为1</w:t>
            </w:r>
            <w:r>
              <w:rPr>
                <w:rFonts w:ascii="宋体" w:hAnsi="宋体" w:eastAsia="宋体" w:cs="宋体"/>
                <w:bCs/>
                <w:sz w:val="24"/>
              </w:rPr>
              <w:t>3.04%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、2</w:t>
            </w:r>
            <w:r>
              <w:rPr>
                <w:rFonts w:ascii="宋体" w:hAnsi="宋体" w:eastAsia="宋体" w:cs="宋体"/>
                <w:bCs/>
                <w:sz w:val="24"/>
              </w:rPr>
              <w:t>3.61%、27.07%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r>
              <w:rPr>
                <w:rFonts w:ascii="宋体" w:hAnsi="宋体" w:eastAsia="宋体" w:cs="宋体"/>
                <w:bCs/>
                <w:sz w:val="24"/>
              </w:rPr>
              <w:t>主要竞争对手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有息负债占负债总额的比例分别为7</w:t>
            </w:r>
            <w:r>
              <w:rPr>
                <w:rFonts w:ascii="宋体" w:hAnsi="宋体" w:eastAsia="宋体" w:cs="宋体"/>
                <w:bCs/>
                <w:sz w:val="24"/>
              </w:rPr>
              <w:t>6.94%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、5</w:t>
            </w:r>
            <w:r>
              <w:rPr>
                <w:rFonts w:ascii="宋体" w:hAnsi="宋体" w:eastAsia="宋体" w:cs="宋体"/>
                <w:bCs/>
                <w:sz w:val="24"/>
              </w:rPr>
              <w:t>8.70%、57.25%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，而</w:t>
            </w:r>
            <w:r>
              <w:rPr>
                <w:rFonts w:ascii="宋体" w:hAnsi="宋体" w:eastAsia="宋体" w:cs="宋体"/>
                <w:bCs/>
                <w:sz w:val="24"/>
              </w:rPr>
              <w:t>我们2016年、2017年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有息负债均为零</w:t>
            </w:r>
            <w:r>
              <w:rPr>
                <w:rFonts w:ascii="宋体" w:hAnsi="宋体" w:eastAsia="宋体" w:cs="宋体"/>
                <w:bCs/>
                <w:sz w:val="24"/>
              </w:rPr>
              <w:t>，2018年有息负债占负债总额的比例为20.78%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。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</w:rPr>
              <w:t>请介绍公司的研发概况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公司组建了一支由行业专家、公司核心技术人员组成的研发团队，核心技术人员均具有多年的从业经历，在混凝土外加剂新产品、新工艺开发方面积累有丰富的经验，获得过多项科研成果，并取得多项专利。公司在混凝土外加剂的应用技术研究、生产工艺改善以及新产品开发等领域持续进行研发投入，确保公司能够适应未来混凝土行业对混凝土外加剂不断提高的需求，为公司长期稳定的增长提供持久动力。在新产品研发方面，公司结合市场需求，深入研究、采用高新技术优化混凝土外加剂产品合成工艺和复配技术，开发具有自主知识产权、优良性价比和市场竞争力的混凝土外加剂系列产品，解决不同组成成份的减水剂与具有不同填料的混凝土的适应性问题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ascii="宋体" w:hAnsi="宋体" w:eastAsia="宋体" w:cs="宋体"/>
                <w:bCs/>
                <w:sz w:val="24"/>
              </w:rPr>
              <w:t>值得一提的是，我们承办了由中国混凝土与水泥制品协会主办、中建西部建设股份有限公司协办的“2019年度中国大型预拌混凝土企业技术负责人会议”，会议在红墙股份惠州总部召开。行业内知名混凝土、水泥企业均参加了本次会议。该会议已成为我国预拌混凝土行业创新发展的风向标，对行业的研发方向具有引领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附件清单（如有）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</w:trPr>
        <w:tc>
          <w:tcPr>
            <w:tcW w:w="148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日期</w:t>
            </w:r>
          </w:p>
        </w:tc>
        <w:tc>
          <w:tcPr>
            <w:tcW w:w="703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</w:t>
            </w:r>
            <w:r>
              <w:rPr>
                <w:rFonts w:cs="宋体" w:asciiTheme="minorEastAsia" w:hAnsi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年</w:t>
            </w:r>
            <w:r>
              <w:rPr>
                <w:rFonts w:cs="宋体" w:asciiTheme="minorEastAsia" w:hAnsiTheme="minorEastAsia"/>
                <w:kern w:val="0"/>
                <w:sz w:val="24"/>
              </w:rPr>
              <w:t>07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月</w:t>
            </w:r>
            <w:r>
              <w:rPr>
                <w:rFonts w:cs="宋体" w:asciiTheme="minorEastAsia" w:hAnsiTheme="minorEastAsia"/>
                <w:kern w:val="0"/>
                <w:sz w:val="24"/>
              </w:rPr>
              <w:t>23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imSun,Bold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B"/>
    <w:multiLevelType w:val="multilevel"/>
    <w:tmpl w:val="38DD316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43D83"/>
    <w:multiLevelType w:val="singleLevel"/>
    <w:tmpl w:val="5D143D8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144047"/>
    <w:multiLevelType w:val="singleLevel"/>
    <w:tmpl w:val="5D1440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C4A3F"/>
    <w:rsid w:val="000119C2"/>
    <w:rsid w:val="00013DFF"/>
    <w:rsid w:val="00021EA1"/>
    <w:rsid w:val="00026194"/>
    <w:rsid w:val="000321A5"/>
    <w:rsid w:val="000559BD"/>
    <w:rsid w:val="000631E7"/>
    <w:rsid w:val="000678EA"/>
    <w:rsid w:val="00075CD3"/>
    <w:rsid w:val="0008093A"/>
    <w:rsid w:val="00085FBA"/>
    <w:rsid w:val="000A7904"/>
    <w:rsid w:val="000B1FE7"/>
    <w:rsid w:val="000B675A"/>
    <w:rsid w:val="000C409E"/>
    <w:rsid w:val="000C6565"/>
    <w:rsid w:val="000F49CA"/>
    <w:rsid w:val="000F5413"/>
    <w:rsid w:val="0010008A"/>
    <w:rsid w:val="001022A6"/>
    <w:rsid w:val="0012567D"/>
    <w:rsid w:val="00130411"/>
    <w:rsid w:val="00132E5A"/>
    <w:rsid w:val="0013416E"/>
    <w:rsid w:val="00141FBE"/>
    <w:rsid w:val="00145A0A"/>
    <w:rsid w:val="001640C4"/>
    <w:rsid w:val="00172C4D"/>
    <w:rsid w:val="001838F2"/>
    <w:rsid w:val="001908B9"/>
    <w:rsid w:val="001A2B90"/>
    <w:rsid w:val="001B1AE5"/>
    <w:rsid w:val="001B6487"/>
    <w:rsid w:val="001D4B5F"/>
    <w:rsid w:val="001E5A50"/>
    <w:rsid w:val="0020381C"/>
    <w:rsid w:val="00205AF6"/>
    <w:rsid w:val="002267CA"/>
    <w:rsid w:val="00241094"/>
    <w:rsid w:val="00242D0B"/>
    <w:rsid w:val="00246016"/>
    <w:rsid w:val="00257CF9"/>
    <w:rsid w:val="00283F74"/>
    <w:rsid w:val="002930DC"/>
    <w:rsid w:val="0029683E"/>
    <w:rsid w:val="00296DDE"/>
    <w:rsid w:val="002A3B04"/>
    <w:rsid w:val="002A4DCC"/>
    <w:rsid w:val="002B4AC5"/>
    <w:rsid w:val="002B6438"/>
    <w:rsid w:val="002C72ED"/>
    <w:rsid w:val="002E1E19"/>
    <w:rsid w:val="002F2B27"/>
    <w:rsid w:val="002F4E55"/>
    <w:rsid w:val="003175FC"/>
    <w:rsid w:val="00321704"/>
    <w:rsid w:val="00331469"/>
    <w:rsid w:val="00350068"/>
    <w:rsid w:val="00350E89"/>
    <w:rsid w:val="00366ACB"/>
    <w:rsid w:val="0037643C"/>
    <w:rsid w:val="003852F5"/>
    <w:rsid w:val="0038777D"/>
    <w:rsid w:val="003D79D2"/>
    <w:rsid w:val="003E3ED0"/>
    <w:rsid w:val="003F317D"/>
    <w:rsid w:val="00421C94"/>
    <w:rsid w:val="00425B1D"/>
    <w:rsid w:val="004309F3"/>
    <w:rsid w:val="00435045"/>
    <w:rsid w:val="00441F0E"/>
    <w:rsid w:val="0044712F"/>
    <w:rsid w:val="00457ACA"/>
    <w:rsid w:val="00474679"/>
    <w:rsid w:val="004875DD"/>
    <w:rsid w:val="004921FA"/>
    <w:rsid w:val="004972B9"/>
    <w:rsid w:val="004A023C"/>
    <w:rsid w:val="004B3091"/>
    <w:rsid w:val="004C38FB"/>
    <w:rsid w:val="004D2C65"/>
    <w:rsid w:val="004E03F5"/>
    <w:rsid w:val="004E29A4"/>
    <w:rsid w:val="004F6BE9"/>
    <w:rsid w:val="00512701"/>
    <w:rsid w:val="0051300B"/>
    <w:rsid w:val="0052463D"/>
    <w:rsid w:val="00533500"/>
    <w:rsid w:val="005335A8"/>
    <w:rsid w:val="00537897"/>
    <w:rsid w:val="00544363"/>
    <w:rsid w:val="0054511F"/>
    <w:rsid w:val="0056113D"/>
    <w:rsid w:val="00571463"/>
    <w:rsid w:val="00573787"/>
    <w:rsid w:val="005C389E"/>
    <w:rsid w:val="005C4CFE"/>
    <w:rsid w:val="005D315D"/>
    <w:rsid w:val="005F2853"/>
    <w:rsid w:val="005F28D8"/>
    <w:rsid w:val="006109B5"/>
    <w:rsid w:val="00614282"/>
    <w:rsid w:val="00632D7A"/>
    <w:rsid w:val="00632F3B"/>
    <w:rsid w:val="00635424"/>
    <w:rsid w:val="006428CA"/>
    <w:rsid w:val="00654A46"/>
    <w:rsid w:val="006769B5"/>
    <w:rsid w:val="00690EEB"/>
    <w:rsid w:val="00693240"/>
    <w:rsid w:val="00694A47"/>
    <w:rsid w:val="006B43B4"/>
    <w:rsid w:val="006B46DC"/>
    <w:rsid w:val="006B775A"/>
    <w:rsid w:val="006F0327"/>
    <w:rsid w:val="00706E81"/>
    <w:rsid w:val="00712D60"/>
    <w:rsid w:val="00717545"/>
    <w:rsid w:val="00726F5E"/>
    <w:rsid w:val="0073561D"/>
    <w:rsid w:val="00740F66"/>
    <w:rsid w:val="00741FCD"/>
    <w:rsid w:val="0076405E"/>
    <w:rsid w:val="0077209E"/>
    <w:rsid w:val="00773882"/>
    <w:rsid w:val="007808C0"/>
    <w:rsid w:val="0078090E"/>
    <w:rsid w:val="0078460A"/>
    <w:rsid w:val="00785086"/>
    <w:rsid w:val="007927CF"/>
    <w:rsid w:val="007941A6"/>
    <w:rsid w:val="007969BD"/>
    <w:rsid w:val="007A2E41"/>
    <w:rsid w:val="007D3574"/>
    <w:rsid w:val="007E2B44"/>
    <w:rsid w:val="008067F8"/>
    <w:rsid w:val="008158EC"/>
    <w:rsid w:val="008274B0"/>
    <w:rsid w:val="00833BC1"/>
    <w:rsid w:val="00846FB3"/>
    <w:rsid w:val="00856BD8"/>
    <w:rsid w:val="00857696"/>
    <w:rsid w:val="0087098E"/>
    <w:rsid w:val="00871A8B"/>
    <w:rsid w:val="00876088"/>
    <w:rsid w:val="00886374"/>
    <w:rsid w:val="00894C31"/>
    <w:rsid w:val="008B0923"/>
    <w:rsid w:val="008B7A44"/>
    <w:rsid w:val="008D701D"/>
    <w:rsid w:val="008E04DB"/>
    <w:rsid w:val="008E2FD1"/>
    <w:rsid w:val="008E593D"/>
    <w:rsid w:val="00913C18"/>
    <w:rsid w:val="00915DF3"/>
    <w:rsid w:val="00920CC8"/>
    <w:rsid w:val="00935766"/>
    <w:rsid w:val="00947E91"/>
    <w:rsid w:val="0095734C"/>
    <w:rsid w:val="00996C7D"/>
    <w:rsid w:val="00997BF6"/>
    <w:rsid w:val="009A2A38"/>
    <w:rsid w:val="009B145A"/>
    <w:rsid w:val="009B18DB"/>
    <w:rsid w:val="009B3CCA"/>
    <w:rsid w:val="009C2AD1"/>
    <w:rsid w:val="009D137C"/>
    <w:rsid w:val="009F206B"/>
    <w:rsid w:val="009F3B6F"/>
    <w:rsid w:val="00A0357D"/>
    <w:rsid w:val="00A24366"/>
    <w:rsid w:val="00A312E5"/>
    <w:rsid w:val="00A5378E"/>
    <w:rsid w:val="00A53EA1"/>
    <w:rsid w:val="00A55B9D"/>
    <w:rsid w:val="00A71E1A"/>
    <w:rsid w:val="00A72838"/>
    <w:rsid w:val="00A808A3"/>
    <w:rsid w:val="00A90BAF"/>
    <w:rsid w:val="00A92F89"/>
    <w:rsid w:val="00AB1527"/>
    <w:rsid w:val="00AB5B4F"/>
    <w:rsid w:val="00AC1CA2"/>
    <w:rsid w:val="00AD0042"/>
    <w:rsid w:val="00AD7755"/>
    <w:rsid w:val="00AE2BA9"/>
    <w:rsid w:val="00AE3374"/>
    <w:rsid w:val="00AF2E27"/>
    <w:rsid w:val="00B033EC"/>
    <w:rsid w:val="00B163BD"/>
    <w:rsid w:val="00B7004F"/>
    <w:rsid w:val="00B72149"/>
    <w:rsid w:val="00B730CD"/>
    <w:rsid w:val="00B84A6E"/>
    <w:rsid w:val="00B92EE4"/>
    <w:rsid w:val="00B940A0"/>
    <w:rsid w:val="00B95607"/>
    <w:rsid w:val="00BA6031"/>
    <w:rsid w:val="00BB0599"/>
    <w:rsid w:val="00BB0602"/>
    <w:rsid w:val="00BB19BC"/>
    <w:rsid w:val="00BC31A6"/>
    <w:rsid w:val="00BC6C3B"/>
    <w:rsid w:val="00BE6C8D"/>
    <w:rsid w:val="00C07CE2"/>
    <w:rsid w:val="00C12BA3"/>
    <w:rsid w:val="00C142B9"/>
    <w:rsid w:val="00C16B76"/>
    <w:rsid w:val="00C34880"/>
    <w:rsid w:val="00C862B2"/>
    <w:rsid w:val="00C9260C"/>
    <w:rsid w:val="00C968C9"/>
    <w:rsid w:val="00CA3109"/>
    <w:rsid w:val="00CB12BA"/>
    <w:rsid w:val="00CD0647"/>
    <w:rsid w:val="00CE4116"/>
    <w:rsid w:val="00D06DE6"/>
    <w:rsid w:val="00D146F1"/>
    <w:rsid w:val="00D3077E"/>
    <w:rsid w:val="00D326EA"/>
    <w:rsid w:val="00D41130"/>
    <w:rsid w:val="00D41A9D"/>
    <w:rsid w:val="00D540AA"/>
    <w:rsid w:val="00D57FC1"/>
    <w:rsid w:val="00D759A5"/>
    <w:rsid w:val="00D83FF6"/>
    <w:rsid w:val="00D91B54"/>
    <w:rsid w:val="00D9271A"/>
    <w:rsid w:val="00D95D36"/>
    <w:rsid w:val="00DC0519"/>
    <w:rsid w:val="00DD3BEC"/>
    <w:rsid w:val="00DE08A7"/>
    <w:rsid w:val="00DE1403"/>
    <w:rsid w:val="00DE14AE"/>
    <w:rsid w:val="00DE1891"/>
    <w:rsid w:val="00DF2641"/>
    <w:rsid w:val="00DF5F7D"/>
    <w:rsid w:val="00E106F9"/>
    <w:rsid w:val="00E11B57"/>
    <w:rsid w:val="00E43197"/>
    <w:rsid w:val="00E4577E"/>
    <w:rsid w:val="00E51B88"/>
    <w:rsid w:val="00E51C21"/>
    <w:rsid w:val="00E55EE9"/>
    <w:rsid w:val="00E636AB"/>
    <w:rsid w:val="00E670E4"/>
    <w:rsid w:val="00E71FF6"/>
    <w:rsid w:val="00E80F02"/>
    <w:rsid w:val="00EA21FE"/>
    <w:rsid w:val="00EA25DE"/>
    <w:rsid w:val="00EA4837"/>
    <w:rsid w:val="00EB002C"/>
    <w:rsid w:val="00EB437E"/>
    <w:rsid w:val="00EC0351"/>
    <w:rsid w:val="00EE2A6B"/>
    <w:rsid w:val="00EE4144"/>
    <w:rsid w:val="00EF3CD1"/>
    <w:rsid w:val="00EF45B6"/>
    <w:rsid w:val="00F35910"/>
    <w:rsid w:val="00F4632A"/>
    <w:rsid w:val="00F5751F"/>
    <w:rsid w:val="00F70C1B"/>
    <w:rsid w:val="00F9121F"/>
    <w:rsid w:val="00FA60D8"/>
    <w:rsid w:val="00FE3B06"/>
    <w:rsid w:val="03D87E73"/>
    <w:rsid w:val="07E73685"/>
    <w:rsid w:val="08580C61"/>
    <w:rsid w:val="08BE5FEB"/>
    <w:rsid w:val="0A2474C5"/>
    <w:rsid w:val="0A43490C"/>
    <w:rsid w:val="0A487B01"/>
    <w:rsid w:val="0BD47A44"/>
    <w:rsid w:val="0BD90DBB"/>
    <w:rsid w:val="0CF32576"/>
    <w:rsid w:val="0FAE29ED"/>
    <w:rsid w:val="107053F5"/>
    <w:rsid w:val="10B631EB"/>
    <w:rsid w:val="11813173"/>
    <w:rsid w:val="13391A88"/>
    <w:rsid w:val="19591710"/>
    <w:rsid w:val="1A106873"/>
    <w:rsid w:val="1D8C4A3F"/>
    <w:rsid w:val="1EA660B4"/>
    <w:rsid w:val="209106CB"/>
    <w:rsid w:val="236D3812"/>
    <w:rsid w:val="25744C88"/>
    <w:rsid w:val="27DB78F2"/>
    <w:rsid w:val="2C1A5D55"/>
    <w:rsid w:val="2EC570D5"/>
    <w:rsid w:val="300B2458"/>
    <w:rsid w:val="309B0AFE"/>
    <w:rsid w:val="31612C0B"/>
    <w:rsid w:val="32F335BC"/>
    <w:rsid w:val="341A09B7"/>
    <w:rsid w:val="36223AFC"/>
    <w:rsid w:val="37215AB3"/>
    <w:rsid w:val="3A953892"/>
    <w:rsid w:val="3DFEF2A0"/>
    <w:rsid w:val="3F63C1FA"/>
    <w:rsid w:val="3FAD04FC"/>
    <w:rsid w:val="3FE9C286"/>
    <w:rsid w:val="41223248"/>
    <w:rsid w:val="41B64633"/>
    <w:rsid w:val="45C17D8D"/>
    <w:rsid w:val="49C1531B"/>
    <w:rsid w:val="4CD630DB"/>
    <w:rsid w:val="53CE0E2F"/>
    <w:rsid w:val="55BC56CC"/>
    <w:rsid w:val="57084C65"/>
    <w:rsid w:val="576701F2"/>
    <w:rsid w:val="5AA24232"/>
    <w:rsid w:val="5B4A311B"/>
    <w:rsid w:val="5BDC466B"/>
    <w:rsid w:val="5C156373"/>
    <w:rsid w:val="5C562476"/>
    <w:rsid w:val="5C997887"/>
    <w:rsid w:val="5D0534FC"/>
    <w:rsid w:val="5D537D2C"/>
    <w:rsid w:val="5DBF3698"/>
    <w:rsid w:val="5FFD5A06"/>
    <w:rsid w:val="60120836"/>
    <w:rsid w:val="6277119A"/>
    <w:rsid w:val="68551C05"/>
    <w:rsid w:val="6A2F562C"/>
    <w:rsid w:val="6AEF5208"/>
    <w:rsid w:val="6B73BA87"/>
    <w:rsid w:val="6C0A6554"/>
    <w:rsid w:val="6CBC0C89"/>
    <w:rsid w:val="6D535020"/>
    <w:rsid w:val="6FFE00B8"/>
    <w:rsid w:val="6FFF1814"/>
    <w:rsid w:val="70D46401"/>
    <w:rsid w:val="78D66332"/>
    <w:rsid w:val="79DF180E"/>
    <w:rsid w:val="7A1C0FFC"/>
    <w:rsid w:val="7B32339B"/>
    <w:rsid w:val="7B3D0029"/>
    <w:rsid w:val="7BE7F37C"/>
    <w:rsid w:val="7C4D1EB9"/>
    <w:rsid w:val="7C6B665A"/>
    <w:rsid w:val="7D660744"/>
    <w:rsid w:val="7DF037F1"/>
    <w:rsid w:val="7E103396"/>
    <w:rsid w:val="7FFF2E04"/>
    <w:rsid w:val="E8A51AFD"/>
    <w:rsid w:val="F0FED397"/>
    <w:rsid w:val="FBFE84F0"/>
    <w:rsid w:val="FDF549A5"/>
    <w:rsid w:val="FE7F1560"/>
    <w:rsid w:val="FF7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HTML 预设格式 字符"/>
    <w:basedOn w:val="8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324</Words>
  <Characters>1852</Characters>
  <Lines>15</Lines>
  <Paragraphs>4</Paragraphs>
  <ScaleCrop>false</ScaleCrop>
  <LinksUpToDate>false</LinksUpToDate>
  <CharactersWithSpaces>2172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2019-07-25T17:50:00Z</dcterms:created>
  <dc:creator>麦西</dc:creator>
  <cp:lastModifiedBy>yz</cp:lastModifiedBy>
  <dcterms:modified xsi:type="dcterms:W3CDTF">2019-07-25T10:00:20Z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