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hAnsi="宋体"/>
          <w:sz w:val="24"/>
          <w:szCs w:val="20"/>
        </w:rPr>
      </w:pPr>
      <w:r>
        <w:rPr>
          <w:rFonts w:hint="eastAsia" w:ascii="宋体" w:hAnsi="宋体"/>
          <w:bCs/>
          <w:iCs/>
          <w:color w:val="000000"/>
          <w:sz w:val="24"/>
        </w:rPr>
        <w:t>证券代码：300783</w:t>
      </w:r>
      <w:r>
        <w:rPr>
          <w:rFonts w:hint="eastAsia" w:ascii="宋体" w:hAnsi="宋体"/>
          <w:bCs/>
          <w:iCs/>
          <w:color w:val="000000"/>
          <w:sz w:val="24"/>
          <w:lang w:val="en-US" w:eastAsia="zh-CN"/>
        </w:rPr>
        <w:t xml:space="preserve">                                   </w:t>
      </w:r>
      <w:r>
        <w:rPr>
          <w:rFonts w:hint="eastAsia" w:ascii="宋体" w:hAnsi="宋体"/>
          <w:bCs/>
          <w:iCs/>
          <w:color w:val="000000"/>
          <w:sz w:val="24"/>
        </w:rPr>
        <w:t>证券简称：三只松鼠</w:t>
      </w:r>
    </w:p>
    <w:p>
      <w:pPr>
        <w:autoSpaceDE w:val="0"/>
        <w:autoSpaceDN w:val="0"/>
        <w:adjustRightInd w:val="0"/>
        <w:spacing w:line="360" w:lineRule="auto"/>
        <w:jc w:val="center"/>
        <w:rPr>
          <w:rFonts w:ascii="宋体" w:hAnsi="宋体"/>
          <w:sz w:val="24"/>
        </w:rPr>
      </w:pP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三只松鼠股份有限公司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jc w:val="right"/>
        <w:rPr>
          <w:rFonts w:hint="eastAsia" w:ascii="宋体" w:hAnsi="宋体" w:eastAsia="宋体"/>
          <w:bCs/>
          <w:iCs/>
          <w:color w:val="000000"/>
          <w:sz w:val="24"/>
          <w:lang w:val="en-US" w:eastAsia="zh-CN"/>
        </w:rPr>
      </w:pPr>
      <w:r>
        <w:rPr>
          <w:rFonts w:hint="eastAsia" w:ascii="宋体" w:hAnsi="宋体"/>
          <w:bCs/>
          <w:iCs/>
          <w:color w:val="000000"/>
          <w:sz w:val="24"/>
        </w:rPr>
        <w:t>编号：2019-00</w:t>
      </w:r>
      <w:r>
        <w:rPr>
          <w:rFonts w:hint="eastAsia" w:ascii="宋体" w:hAnsi="宋体"/>
          <w:bCs/>
          <w:iCs/>
          <w:color w:val="000000"/>
          <w:sz w:val="24"/>
          <w:lang w:val="en-US" w:eastAsia="zh-CN"/>
        </w:rPr>
        <w:t>2</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投资者关系活动类别</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特定对象调研</w:t>
            </w:r>
            <w:r>
              <w:rPr>
                <w:rFonts w:hint="eastAsia" w:ascii="宋体" w:hAnsi="宋体"/>
                <w:bCs/>
                <w:iCs/>
                <w:color w:val="000000"/>
                <w:sz w:val="24"/>
              </w:rPr>
              <w:t>□</w:t>
            </w:r>
            <w:r>
              <w:rPr>
                <w:rFonts w:hint="eastAsia" w:ascii="宋体" w:hAnsi="宋体"/>
                <w:sz w:val="28"/>
                <w:szCs w:val="28"/>
              </w:rPr>
              <w:t>分析师会议</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媒体采访</w:t>
            </w:r>
            <w:r>
              <w:rPr>
                <w:rFonts w:hint="eastAsia" w:ascii="宋体" w:hAnsi="宋体"/>
                <w:bCs/>
                <w:iCs/>
                <w:color w:val="000000"/>
                <w:sz w:val="24"/>
              </w:rPr>
              <w:t>□</w:t>
            </w:r>
            <w:r>
              <w:rPr>
                <w:rFonts w:hint="eastAsia" w:ascii="宋体" w:hAnsi="宋体"/>
                <w:sz w:val="28"/>
                <w:szCs w:val="28"/>
              </w:rPr>
              <w:t>业绩说明会</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新闻发布会</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hint="eastAsia" w:ascii="宋体" w:hAnsi="宋体"/>
                <w:bCs/>
                <w:iCs/>
                <w:color w:val="000000"/>
                <w:sz w:val="24"/>
              </w:rPr>
              <w:tab/>
            </w:r>
          </w:p>
          <w:p>
            <w:pPr>
              <w:tabs>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其他</w:t>
            </w:r>
            <w:r>
              <w:rPr>
                <w:rFonts w:hint="eastAsia" w:ascii="宋体" w:hAnsi="宋体"/>
                <w:sz w:val="28"/>
                <w:szCs w:val="28"/>
                <w:u w:val="single"/>
              </w:rPr>
              <w:t>（交流会）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hint="eastAsia" w:ascii="宋体" w:hAnsi="宋体"/>
                <w:bCs/>
                <w:iCs/>
                <w:color w:val="000000"/>
                <w:sz w:val="24"/>
              </w:rPr>
            </w:pPr>
            <w:r>
              <w:rPr>
                <w:rFonts w:hint="eastAsia" w:ascii="宋体" w:hAnsi="宋体"/>
                <w:bCs/>
                <w:iCs/>
                <w:color w:val="000000"/>
                <w:sz w:val="24"/>
              </w:rPr>
              <w:t>天风证券：刘章明</w:t>
            </w:r>
          </w:p>
          <w:p>
            <w:pPr>
              <w:spacing w:line="480" w:lineRule="atLeast"/>
              <w:rPr>
                <w:rFonts w:hint="eastAsia" w:ascii="宋体" w:hAnsi="宋体"/>
                <w:bCs/>
                <w:iCs/>
                <w:color w:val="000000"/>
                <w:sz w:val="24"/>
              </w:rPr>
            </w:pPr>
            <w:r>
              <w:rPr>
                <w:rFonts w:hint="eastAsia" w:ascii="宋体" w:hAnsi="宋体"/>
                <w:bCs/>
                <w:iCs/>
                <w:color w:val="000000"/>
                <w:sz w:val="24"/>
              </w:rPr>
              <w:t>天风证券：童昱</w:t>
            </w:r>
          </w:p>
          <w:p>
            <w:pPr>
              <w:spacing w:line="480" w:lineRule="atLeast"/>
              <w:rPr>
                <w:rFonts w:hint="eastAsia" w:ascii="宋体" w:hAnsi="宋体"/>
                <w:bCs/>
                <w:iCs/>
                <w:color w:val="000000"/>
                <w:sz w:val="24"/>
              </w:rPr>
            </w:pPr>
            <w:r>
              <w:rPr>
                <w:rFonts w:hint="eastAsia" w:ascii="宋体" w:hAnsi="宋体"/>
                <w:bCs/>
                <w:iCs/>
                <w:color w:val="000000"/>
                <w:sz w:val="24"/>
              </w:rPr>
              <w:t>天风证券：方心诣</w:t>
            </w:r>
          </w:p>
          <w:p>
            <w:pPr>
              <w:spacing w:line="480" w:lineRule="atLeast"/>
              <w:rPr>
                <w:rFonts w:hint="eastAsia" w:ascii="宋体" w:hAnsi="宋体"/>
                <w:bCs/>
                <w:iCs/>
                <w:color w:val="000000"/>
                <w:sz w:val="24"/>
              </w:rPr>
            </w:pPr>
            <w:r>
              <w:rPr>
                <w:rFonts w:hint="eastAsia" w:ascii="宋体" w:hAnsi="宋体"/>
                <w:bCs/>
                <w:iCs/>
                <w:color w:val="000000"/>
                <w:sz w:val="24"/>
              </w:rPr>
              <w:t>敦和资产：汤晨晨</w:t>
            </w:r>
          </w:p>
          <w:p>
            <w:pPr>
              <w:spacing w:line="480" w:lineRule="atLeast"/>
              <w:rPr>
                <w:rFonts w:hint="eastAsia" w:ascii="宋体" w:hAnsi="宋体"/>
                <w:bCs/>
                <w:iCs/>
                <w:color w:val="000000"/>
                <w:sz w:val="24"/>
              </w:rPr>
            </w:pPr>
            <w:r>
              <w:rPr>
                <w:rFonts w:hint="eastAsia" w:ascii="宋体" w:hAnsi="宋体"/>
                <w:bCs/>
                <w:iCs/>
                <w:color w:val="000000"/>
                <w:sz w:val="24"/>
              </w:rPr>
              <w:t>万家基金：王琴</w:t>
            </w:r>
          </w:p>
          <w:p>
            <w:pPr>
              <w:spacing w:line="480" w:lineRule="atLeast"/>
              <w:rPr>
                <w:rFonts w:hint="eastAsia" w:ascii="宋体" w:hAnsi="宋体"/>
                <w:bCs/>
                <w:iCs/>
                <w:color w:val="000000"/>
                <w:sz w:val="24"/>
              </w:rPr>
            </w:pPr>
            <w:r>
              <w:rPr>
                <w:rFonts w:hint="eastAsia" w:ascii="宋体" w:hAnsi="宋体"/>
                <w:bCs/>
                <w:iCs/>
                <w:color w:val="000000"/>
                <w:sz w:val="24"/>
              </w:rPr>
              <w:t>财通基金：童若凡</w:t>
            </w:r>
          </w:p>
          <w:p>
            <w:pPr>
              <w:spacing w:line="480" w:lineRule="atLeast"/>
              <w:rPr>
                <w:rFonts w:hint="eastAsia" w:ascii="宋体" w:hAnsi="宋体"/>
                <w:bCs/>
                <w:iCs/>
                <w:color w:val="000000"/>
                <w:sz w:val="24"/>
              </w:rPr>
            </w:pPr>
            <w:r>
              <w:rPr>
                <w:rFonts w:hint="eastAsia" w:ascii="宋体" w:hAnsi="宋体"/>
                <w:bCs/>
                <w:iCs/>
                <w:color w:val="000000"/>
                <w:sz w:val="24"/>
              </w:rPr>
              <w:t>万家基金：束金伟</w:t>
            </w:r>
          </w:p>
          <w:p>
            <w:pPr>
              <w:spacing w:line="480" w:lineRule="atLeast"/>
              <w:rPr>
                <w:rFonts w:hint="eastAsia" w:ascii="宋体" w:hAnsi="宋体"/>
                <w:bCs/>
                <w:iCs/>
                <w:color w:val="000000"/>
                <w:sz w:val="24"/>
              </w:rPr>
            </w:pPr>
            <w:r>
              <w:rPr>
                <w:rFonts w:hint="eastAsia" w:ascii="宋体" w:hAnsi="宋体"/>
                <w:bCs/>
                <w:iCs/>
                <w:color w:val="000000"/>
                <w:sz w:val="24"/>
                <w:lang w:val="en-US" w:eastAsia="zh-CN"/>
              </w:rPr>
              <w:t>中欧睿博投资</w:t>
            </w:r>
            <w:r>
              <w:rPr>
                <w:rFonts w:hint="eastAsia" w:ascii="宋体" w:hAnsi="宋体"/>
                <w:bCs/>
                <w:iCs/>
                <w:color w:val="000000"/>
                <w:sz w:val="24"/>
              </w:rPr>
              <w:t>：党叶珍</w:t>
            </w:r>
          </w:p>
          <w:p>
            <w:pPr>
              <w:spacing w:line="480" w:lineRule="atLeast"/>
              <w:rPr>
                <w:rFonts w:hint="eastAsia" w:ascii="宋体" w:hAnsi="宋体"/>
                <w:bCs/>
                <w:iCs/>
                <w:color w:val="000000"/>
                <w:sz w:val="24"/>
                <w:lang w:val="en-US" w:eastAsia="zh-CN"/>
              </w:rPr>
            </w:pPr>
            <w:r>
              <w:rPr>
                <w:rFonts w:hint="eastAsia" w:ascii="宋体" w:hAnsi="宋体"/>
                <w:bCs/>
                <w:iCs/>
                <w:color w:val="000000"/>
                <w:sz w:val="24"/>
                <w:lang w:val="en-US" w:eastAsia="zh-CN"/>
              </w:rPr>
              <w:t>展博投资：郑毅</w:t>
            </w:r>
          </w:p>
          <w:p>
            <w:pPr>
              <w:spacing w:line="480" w:lineRule="atLeast"/>
              <w:rPr>
                <w:rFonts w:hint="eastAsia" w:ascii="宋体" w:hAnsi="宋体"/>
                <w:bCs/>
                <w:iCs/>
                <w:color w:val="000000"/>
                <w:sz w:val="24"/>
                <w:lang w:val="en-US" w:eastAsia="zh-CN"/>
              </w:rPr>
            </w:pPr>
            <w:r>
              <w:rPr>
                <w:rFonts w:hint="eastAsia" w:ascii="宋体" w:hAnsi="宋体"/>
                <w:bCs/>
                <w:iCs/>
                <w:color w:val="000000"/>
                <w:sz w:val="24"/>
                <w:lang w:val="en-US" w:eastAsia="zh-CN"/>
              </w:rPr>
              <w:t>天弘基金：田俊维</w:t>
            </w:r>
          </w:p>
          <w:p>
            <w:pPr>
              <w:spacing w:line="480" w:lineRule="atLeast"/>
              <w:rPr>
                <w:rFonts w:hint="eastAsia" w:ascii="宋体" w:hAnsi="宋体"/>
                <w:bCs/>
                <w:iCs/>
                <w:color w:val="000000"/>
                <w:sz w:val="24"/>
              </w:rPr>
            </w:pPr>
            <w:r>
              <w:rPr>
                <w:rFonts w:hint="eastAsia" w:ascii="宋体" w:hAnsi="宋体"/>
                <w:bCs/>
                <w:iCs/>
                <w:color w:val="000000"/>
                <w:sz w:val="24"/>
              </w:rPr>
              <w:t>方正证券：刘健</w:t>
            </w:r>
          </w:p>
          <w:p>
            <w:pPr>
              <w:spacing w:line="480" w:lineRule="atLeast"/>
              <w:rPr>
                <w:rFonts w:hint="eastAsia" w:ascii="宋体" w:hAnsi="宋体"/>
                <w:bCs/>
                <w:iCs/>
                <w:color w:val="000000"/>
                <w:sz w:val="24"/>
              </w:rPr>
            </w:pPr>
            <w:r>
              <w:rPr>
                <w:rFonts w:hint="eastAsia" w:ascii="宋体" w:hAnsi="宋体"/>
                <w:bCs/>
                <w:iCs/>
                <w:color w:val="000000"/>
                <w:sz w:val="24"/>
              </w:rPr>
              <w:t>方正证券：刘洁铭</w:t>
            </w:r>
          </w:p>
          <w:p>
            <w:pPr>
              <w:spacing w:line="480" w:lineRule="atLeast"/>
              <w:rPr>
                <w:rFonts w:hint="eastAsia" w:ascii="宋体" w:hAnsi="宋体"/>
                <w:bCs/>
                <w:iCs/>
                <w:color w:val="000000"/>
                <w:sz w:val="24"/>
              </w:rPr>
            </w:pPr>
            <w:r>
              <w:rPr>
                <w:rFonts w:hint="eastAsia" w:ascii="宋体" w:hAnsi="宋体"/>
                <w:bCs/>
                <w:iCs/>
                <w:color w:val="000000"/>
                <w:sz w:val="24"/>
              </w:rPr>
              <w:t>泰康资产：刘巍放</w:t>
            </w:r>
          </w:p>
          <w:p>
            <w:pPr>
              <w:spacing w:line="480" w:lineRule="atLeast"/>
              <w:rPr>
                <w:rFonts w:hint="eastAsia" w:ascii="宋体" w:hAnsi="宋体"/>
                <w:bCs/>
                <w:iCs/>
                <w:color w:val="000000"/>
                <w:sz w:val="24"/>
              </w:rPr>
            </w:pPr>
            <w:r>
              <w:rPr>
                <w:rFonts w:hint="eastAsia" w:ascii="宋体" w:hAnsi="宋体"/>
                <w:bCs/>
                <w:iCs/>
                <w:color w:val="000000"/>
                <w:sz w:val="24"/>
              </w:rPr>
              <w:t>平安基金：何思璇</w:t>
            </w:r>
          </w:p>
          <w:p>
            <w:pPr>
              <w:spacing w:line="480" w:lineRule="atLeast"/>
              <w:rPr>
                <w:rFonts w:hint="eastAsia" w:ascii="宋体" w:hAnsi="宋体"/>
                <w:bCs/>
                <w:iCs/>
                <w:color w:val="000000"/>
                <w:sz w:val="24"/>
              </w:rPr>
            </w:pPr>
            <w:r>
              <w:rPr>
                <w:rFonts w:hint="eastAsia" w:ascii="宋体" w:hAnsi="宋体"/>
                <w:bCs/>
                <w:iCs/>
                <w:color w:val="000000"/>
                <w:sz w:val="24"/>
              </w:rPr>
              <w:t>招商银行资管：张旭欣</w:t>
            </w:r>
          </w:p>
          <w:p>
            <w:pPr>
              <w:spacing w:line="480" w:lineRule="atLeast"/>
              <w:rPr>
                <w:rFonts w:hint="eastAsia" w:ascii="宋体" w:hAnsi="宋体"/>
                <w:bCs/>
                <w:iCs/>
                <w:color w:val="000000"/>
                <w:sz w:val="24"/>
              </w:rPr>
            </w:pPr>
            <w:r>
              <w:rPr>
                <w:rFonts w:hint="eastAsia" w:ascii="宋体" w:hAnsi="宋体"/>
                <w:bCs/>
                <w:iCs/>
                <w:color w:val="000000"/>
                <w:sz w:val="24"/>
              </w:rPr>
              <w:t>深圳凯丰投资：范慧华</w:t>
            </w:r>
          </w:p>
          <w:p>
            <w:pPr>
              <w:spacing w:line="480" w:lineRule="atLeast"/>
              <w:rPr>
                <w:rFonts w:hint="eastAsia" w:ascii="宋体" w:hAnsi="宋体"/>
                <w:bCs/>
                <w:iCs/>
                <w:color w:val="000000"/>
                <w:sz w:val="24"/>
              </w:rPr>
            </w:pPr>
            <w:r>
              <w:rPr>
                <w:rFonts w:hint="eastAsia" w:ascii="宋体" w:hAnsi="宋体"/>
                <w:bCs/>
                <w:iCs/>
                <w:color w:val="000000"/>
                <w:sz w:val="24"/>
              </w:rPr>
              <w:t>富达基金：袁嘉玮</w:t>
            </w:r>
          </w:p>
          <w:p>
            <w:pPr>
              <w:spacing w:line="480" w:lineRule="atLeast"/>
              <w:rPr>
                <w:rFonts w:hint="eastAsia" w:ascii="宋体" w:hAnsi="宋体"/>
                <w:bCs/>
                <w:iCs/>
                <w:color w:val="000000"/>
                <w:sz w:val="24"/>
              </w:rPr>
            </w:pPr>
            <w:r>
              <w:rPr>
                <w:rFonts w:hint="eastAsia" w:ascii="宋体" w:hAnsi="宋体"/>
                <w:bCs/>
                <w:iCs/>
                <w:color w:val="000000"/>
                <w:sz w:val="24"/>
              </w:rPr>
              <w:t>华创证券：方振</w:t>
            </w:r>
          </w:p>
          <w:p>
            <w:pPr>
              <w:spacing w:line="480" w:lineRule="atLeast"/>
              <w:rPr>
                <w:rFonts w:hint="eastAsia" w:ascii="宋体" w:hAnsi="宋体"/>
                <w:bCs/>
                <w:iCs/>
                <w:color w:val="000000"/>
                <w:sz w:val="24"/>
              </w:rPr>
            </w:pPr>
            <w:r>
              <w:rPr>
                <w:rFonts w:hint="eastAsia" w:ascii="宋体" w:hAnsi="宋体"/>
                <w:bCs/>
                <w:iCs/>
                <w:color w:val="000000"/>
                <w:sz w:val="24"/>
              </w:rPr>
              <w:t>华创证券：杨传忻</w:t>
            </w:r>
          </w:p>
          <w:p>
            <w:pPr>
              <w:spacing w:line="480" w:lineRule="atLeast"/>
              <w:rPr>
                <w:rFonts w:hint="eastAsia" w:ascii="宋体" w:hAnsi="宋体"/>
                <w:bCs/>
                <w:iCs/>
                <w:color w:val="000000"/>
                <w:sz w:val="24"/>
              </w:rPr>
            </w:pPr>
            <w:r>
              <w:rPr>
                <w:rFonts w:hint="eastAsia" w:ascii="宋体" w:hAnsi="宋体"/>
                <w:bCs/>
                <w:iCs/>
                <w:color w:val="000000"/>
                <w:sz w:val="24"/>
              </w:rPr>
              <w:t>盈峰资产：盘世雄</w:t>
            </w:r>
          </w:p>
          <w:p>
            <w:pPr>
              <w:spacing w:line="480" w:lineRule="atLeast"/>
              <w:rPr>
                <w:rFonts w:hint="eastAsia" w:ascii="宋体" w:hAnsi="宋体"/>
                <w:bCs/>
                <w:iCs/>
                <w:color w:val="000000"/>
                <w:sz w:val="24"/>
              </w:rPr>
            </w:pPr>
            <w:r>
              <w:rPr>
                <w:rFonts w:hint="eastAsia" w:ascii="宋体" w:hAnsi="宋体"/>
                <w:bCs/>
                <w:iCs/>
                <w:color w:val="000000"/>
                <w:sz w:val="24"/>
              </w:rPr>
              <w:t>国泰君安：张睿</w:t>
            </w:r>
          </w:p>
          <w:p>
            <w:pPr>
              <w:spacing w:line="480" w:lineRule="atLeast"/>
              <w:rPr>
                <w:rFonts w:hint="eastAsia" w:ascii="宋体" w:hAnsi="宋体"/>
                <w:bCs/>
                <w:iCs/>
                <w:color w:val="000000"/>
                <w:sz w:val="24"/>
              </w:rPr>
            </w:pPr>
            <w:r>
              <w:rPr>
                <w:rFonts w:hint="eastAsia" w:ascii="宋体" w:hAnsi="宋体"/>
                <w:bCs/>
                <w:iCs/>
                <w:color w:val="000000"/>
                <w:sz w:val="24"/>
              </w:rPr>
              <w:t>广发证券：高峰</w:t>
            </w:r>
          </w:p>
          <w:p>
            <w:pPr>
              <w:spacing w:line="480" w:lineRule="atLeast"/>
              <w:rPr>
                <w:rFonts w:hint="eastAsia" w:ascii="宋体" w:hAnsi="宋体"/>
                <w:bCs/>
                <w:iCs/>
                <w:color w:val="000000"/>
                <w:sz w:val="24"/>
              </w:rPr>
            </w:pPr>
            <w:r>
              <w:rPr>
                <w:rFonts w:hint="eastAsia" w:ascii="宋体" w:hAnsi="宋体"/>
                <w:bCs/>
                <w:iCs/>
                <w:color w:val="000000"/>
                <w:sz w:val="24"/>
              </w:rPr>
              <w:t>浙商证券：申晟</w:t>
            </w:r>
          </w:p>
          <w:p>
            <w:pPr>
              <w:spacing w:line="480" w:lineRule="atLeast"/>
              <w:rPr>
                <w:rFonts w:hint="eastAsia" w:ascii="宋体" w:hAnsi="宋体"/>
                <w:bCs/>
                <w:iCs/>
                <w:color w:val="000000"/>
                <w:sz w:val="24"/>
              </w:rPr>
            </w:pPr>
            <w:r>
              <w:rPr>
                <w:rFonts w:hint="eastAsia" w:ascii="宋体" w:hAnsi="宋体"/>
                <w:bCs/>
                <w:iCs/>
                <w:color w:val="000000"/>
                <w:sz w:val="24"/>
              </w:rPr>
              <w:t>申银万国：毕晓静</w:t>
            </w:r>
          </w:p>
          <w:p>
            <w:pPr>
              <w:spacing w:line="480" w:lineRule="atLeast"/>
              <w:rPr>
                <w:rFonts w:hint="eastAsia" w:ascii="宋体" w:hAnsi="宋体"/>
                <w:bCs/>
                <w:iCs/>
                <w:color w:val="000000"/>
                <w:sz w:val="24"/>
              </w:rPr>
            </w:pPr>
            <w:r>
              <w:rPr>
                <w:rFonts w:hint="eastAsia" w:ascii="宋体" w:hAnsi="宋体"/>
                <w:bCs/>
                <w:iCs/>
                <w:color w:val="000000"/>
                <w:sz w:val="24"/>
              </w:rPr>
              <w:t>东吴证券：宗旭豪</w:t>
            </w:r>
          </w:p>
          <w:p>
            <w:pPr>
              <w:spacing w:line="480" w:lineRule="atLeast"/>
              <w:rPr>
                <w:rFonts w:hint="eastAsia" w:ascii="宋体" w:hAnsi="宋体"/>
                <w:bCs/>
                <w:iCs/>
                <w:color w:val="000000"/>
                <w:sz w:val="24"/>
              </w:rPr>
            </w:pPr>
            <w:r>
              <w:rPr>
                <w:rFonts w:hint="eastAsia" w:ascii="宋体" w:hAnsi="宋体"/>
                <w:bCs/>
                <w:iCs/>
                <w:color w:val="000000"/>
                <w:sz w:val="24"/>
              </w:rPr>
              <w:t>国金证券：卢周伟</w:t>
            </w:r>
          </w:p>
          <w:p>
            <w:pPr>
              <w:spacing w:line="480" w:lineRule="atLeast"/>
              <w:rPr>
                <w:rFonts w:hint="eastAsia" w:ascii="宋体" w:hAnsi="宋体"/>
                <w:bCs/>
                <w:iCs/>
                <w:color w:val="000000"/>
                <w:sz w:val="24"/>
              </w:rPr>
            </w:pPr>
            <w:r>
              <w:rPr>
                <w:rFonts w:hint="eastAsia" w:ascii="宋体" w:hAnsi="宋体"/>
                <w:bCs/>
                <w:iCs/>
                <w:color w:val="000000"/>
                <w:sz w:val="24"/>
              </w:rPr>
              <w:t>兴业证券：颜言</w:t>
            </w:r>
          </w:p>
          <w:p>
            <w:pPr>
              <w:spacing w:line="480" w:lineRule="atLeast"/>
              <w:rPr>
                <w:rFonts w:ascii="宋体" w:hAnsi="宋体"/>
                <w:bCs/>
                <w:iCs/>
                <w:color w:val="000000"/>
                <w:sz w:val="24"/>
              </w:rPr>
            </w:pPr>
            <w:r>
              <w:rPr>
                <w:rFonts w:hint="eastAsia" w:ascii="宋体" w:hAnsi="宋体"/>
                <w:bCs/>
                <w:iCs/>
                <w:color w:val="000000"/>
                <w:sz w:val="24"/>
              </w:rPr>
              <w:t>上海东方证券：蔡毓伟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时间</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2019年7月2</w:t>
            </w:r>
            <w:r>
              <w:rPr>
                <w:rFonts w:hint="eastAsia" w:ascii="宋体" w:hAnsi="宋体"/>
                <w:bCs/>
                <w:iCs/>
                <w:color w:val="000000"/>
                <w:sz w:val="24"/>
                <w:lang w:val="en-US" w:eastAsia="zh-CN"/>
              </w:rPr>
              <w:t>7</w:t>
            </w:r>
            <w:r>
              <w:rPr>
                <w:rFonts w:hint="eastAsia" w:ascii="宋体" w:hAnsi="宋体"/>
                <w:bCs/>
                <w:iCs/>
                <w:color w:val="000000"/>
                <w:sz w:val="24"/>
              </w:rPr>
              <w:t>日10:00-12:30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地点</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安徽省芜湖市弋江区芜湖高新技术产业开发区久盛路8号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董事、董事会秘书：潘道伟</w:t>
            </w:r>
          </w:p>
          <w:p>
            <w:pPr>
              <w:spacing w:line="480" w:lineRule="atLeast"/>
              <w:rPr>
                <w:rFonts w:ascii="宋体" w:hAnsi="宋体"/>
                <w:bCs/>
                <w:iCs/>
                <w:color w:val="000000"/>
                <w:sz w:val="24"/>
              </w:rPr>
            </w:pPr>
            <w:r>
              <w:rPr>
                <w:rFonts w:hint="eastAsia" w:ascii="宋体" w:hAnsi="宋体"/>
                <w:bCs/>
                <w:iCs/>
                <w:color w:val="000000"/>
                <w:sz w:val="24"/>
              </w:rPr>
              <w:t>媒体公关总监：殷翔</w:t>
            </w:r>
          </w:p>
          <w:p>
            <w:pPr>
              <w:spacing w:line="480" w:lineRule="atLeast"/>
              <w:rPr>
                <w:rFonts w:ascii="宋体" w:hAnsi="宋体"/>
                <w:bCs/>
                <w:iCs/>
                <w:color w:val="000000"/>
                <w:sz w:val="24"/>
              </w:rPr>
            </w:pPr>
            <w:r>
              <w:rPr>
                <w:rFonts w:hint="eastAsia" w:ascii="宋体" w:hAnsi="宋体"/>
                <w:bCs/>
                <w:iCs/>
                <w:color w:val="000000"/>
                <w:sz w:val="24"/>
              </w:rPr>
              <w:t>证券事务代表：房尚任</w:t>
            </w:r>
          </w:p>
          <w:p>
            <w:pPr>
              <w:spacing w:line="480" w:lineRule="atLeast"/>
              <w:rPr>
                <w:rFonts w:ascii="宋体" w:hAnsi="宋体"/>
                <w:bCs/>
                <w:iCs/>
                <w:color w:val="000000"/>
                <w:sz w:val="24"/>
              </w:rPr>
            </w:pPr>
            <w:r>
              <w:rPr>
                <w:rFonts w:hint="eastAsia" w:ascii="宋体" w:hAnsi="宋体"/>
                <w:bCs/>
                <w:iCs/>
                <w:color w:val="000000"/>
                <w:sz w:val="24"/>
              </w:rPr>
              <w:t>证券事务代表助理：段丹丹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投资者关系活动主要内容介绍</w:t>
            </w:r>
          </w:p>
          <w:p>
            <w:pPr>
              <w:spacing w:line="480" w:lineRule="atLeast"/>
              <w:rPr>
                <w:rFonts w:ascii="宋体" w:hAnsi="宋体"/>
                <w:bCs/>
                <w:iCs/>
                <w:color w:val="000000"/>
                <w:sz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
                <w:iCs/>
                <w:color w:val="000000"/>
                <w:sz w:val="24"/>
              </w:rPr>
            </w:pPr>
            <w:r>
              <w:rPr>
                <w:rFonts w:hint="eastAsia" w:ascii="宋体" w:hAnsi="宋体"/>
                <w:b/>
                <w:iCs/>
                <w:color w:val="000000"/>
                <w:sz w:val="24"/>
              </w:rPr>
              <w:t>一、公司现场参观</w:t>
            </w:r>
          </w:p>
          <w:p>
            <w:pPr>
              <w:spacing w:line="480" w:lineRule="atLeast"/>
              <w:rPr>
                <w:rFonts w:ascii="宋体" w:hAnsi="宋体"/>
                <w:b/>
                <w:iCs/>
                <w:color w:val="000000"/>
                <w:sz w:val="24"/>
              </w:rPr>
            </w:pPr>
            <w:r>
              <w:rPr>
                <w:rFonts w:hint="eastAsia" w:ascii="宋体" w:hAnsi="宋体"/>
                <w:b/>
                <w:iCs/>
                <w:color w:val="000000"/>
                <w:sz w:val="24"/>
              </w:rPr>
              <w:t>二、座谈问答</w:t>
            </w:r>
          </w:p>
          <w:p>
            <w:pPr>
              <w:spacing w:line="360" w:lineRule="auto"/>
              <w:ind w:firstLine="482" w:firstLineChars="200"/>
              <w:rPr>
                <w:b/>
                <w:bCs/>
                <w:sz w:val="24"/>
              </w:rPr>
            </w:pPr>
            <w:r>
              <w:rPr>
                <w:rFonts w:hint="eastAsia"/>
                <w:b/>
                <w:bCs/>
                <w:sz w:val="24"/>
              </w:rPr>
              <w:t>1、</w:t>
            </w:r>
            <w:r>
              <w:rPr>
                <w:rFonts w:hint="eastAsia" w:ascii="宋体" w:hAnsi="宋体" w:eastAsia="宋体" w:cs="宋体"/>
                <w:b/>
                <w:bCs/>
                <w:sz w:val="24"/>
              </w:rPr>
              <w:t>怎么看待未来3-5年线上线下的发展？</w:t>
            </w:r>
          </w:p>
          <w:p>
            <w:pPr>
              <w:spacing w:line="360" w:lineRule="auto"/>
              <w:ind w:firstLine="480" w:firstLineChars="200"/>
              <w:rPr>
                <w:rFonts w:ascii="宋体" w:hAnsi="宋体" w:eastAsia="宋体" w:cs="宋体"/>
                <w:sz w:val="24"/>
              </w:rPr>
            </w:pPr>
            <w:r>
              <w:rPr>
                <w:rFonts w:hint="eastAsia"/>
                <w:sz w:val="24"/>
              </w:rPr>
              <w:t>答：1）线上流量红利趋减不代表公司在线上增长空间受限。近一个月数据显示，在天猫平台搜索“三只松鼠”的次数是搜索“坚果”的2.69倍，三只松鼠已成为坚果品类代表。对企业而言，业务增长通常有两个维度：第一个是增加新的品类，如烘焙、肉食等产品；第二个是增加新用户，</w:t>
            </w:r>
            <w:r>
              <w:rPr>
                <w:rFonts w:hint="eastAsia" w:ascii="宋体" w:hAnsi="宋体" w:eastAsia="宋体" w:cs="宋体"/>
                <w:sz w:val="24"/>
              </w:rPr>
              <w:t>在主要线上平台，购买过三只松鼠产品的用户占平台总用户渗透率较低，公司在积极通过商品策略和运营策略触及更多用户，</w:t>
            </w:r>
            <w:r>
              <w:rPr>
                <w:rFonts w:hint="eastAsia"/>
                <w:sz w:val="24"/>
              </w:rPr>
              <w:t>天猫大盘618的增长率是38.5%，我们的增长率是52%，高于大盘增幅。公司认为做好商品策略，线上增长趋势将保持下去</w:t>
            </w:r>
            <w:r>
              <w:rPr>
                <w:rFonts w:hint="eastAsia" w:ascii="宋体" w:hAnsi="宋体" w:eastAsia="宋体" w:cs="宋体"/>
                <w:sz w:val="24"/>
              </w:rPr>
              <w:t>。</w:t>
            </w:r>
          </w:p>
          <w:p>
            <w:pPr>
              <w:spacing w:line="360" w:lineRule="auto"/>
              <w:ind w:firstLine="480" w:firstLineChars="200"/>
              <w:rPr>
                <w:sz w:val="24"/>
              </w:rPr>
            </w:pPr>
            <w:r>
              <w:rPr>
                <w:rFonts w:hint="eastAsia" w:ascii="宋体" w:hAnsi="宋体" w:eastAsia="宋体" w:cs="宋体"/>
                <w:sz w:val="24"/>
              </w:rPr>
              <w:t>2）线下有更广泛的想象空间。零食行业是一个万亿市场，线上渗透率只有19%，</w:t>
            </w:r>
            <w:r>
              <w:rPr>
                <w:rFonts w:hint="eastAsia"/>
                <w:sz w:val="24"/>
              </w:rPr>
              <w:t>未来重要战场在线下，线下公司将会通过松鼠投食店和松鼠小店积极布局，但不是简单的把线上产品复制到线下。核心在于能否把线上的优势通过数字化战略在线下供应链和渠道端重做一遍。</w:t>
            </w:r>
          </w:p>
          <w:p>
            <w:pPr>
              <w:spacing w:line="360" w:lineRule="auto"/>
              <w:ind w:firstLine="482" w:firstLineChars="200"/>
              <w:rPr>
                <w:b/>
                <w:bCs/>
                <w:sz w:val="24"/>
              </w:rPr>
            </w:pPr>
            <w:r>
              <w:rPr>
                <w:rFonts w:hint="eastAsia"/>
                <w:b/>
                <w:bCs/>
                <w:sz w:val="24"/>
              </w:rPr>
              <w:t>2、怎么看待社交电商？</w:t>
            </w:r>
          </w:p>
          <w:p>
            <w:pPr>
              <w:spacing w:line="360" w:lineRule="auto"/>
              <w:ind w:firstLine="480" w:firstLineChars="200"/>
              <w:rPr>
                <w:sz w:val="24"/>
              </w:rPr>
            </w:pPr>
            <w:r>
              <w:rPr>
                <w:rFonts w:hint="eastAsia"/>
                <w:sz w:val="24"/>
              </w:rPr>
              <w:t>答：公司的模式是“制造型自有品牌多业态零售商”，和多家社交电商也都有积极的合作，还在探索阶段。</w:t>
            </w:r>
          </w:p>
          <w:p>
            <w:pPr>
              <w:spacing w:line="360" w:lineRule="auto"/>
              <w:ind w:firstLine="482" w:firstLineChars="200"/>
              <w:rPr>
                <w:b/>
                <w:bCs/>
                <w:sz w:val="24"/>
              </w:rPr>
            </w:pPr>
            <w:r>
              <w:rPr>
                <w:rFonts w:hint="eastAsia"/>
                <w:b/>
                <w:bCs/>
                <w:sz w:val="24"/>
                <w:lang w:val="en-US" w:eastAsia="zh-CN"/>
              </w:rPr>
              <w:t>3</w:t>
            </w:r>
            <w:r>
              <w:rPr>
                <w:rFonts w:hint="eastAsia"/>
                <w:b/>
                <w:bCs/>
                <w:sz w:val="24"/>
              </w:rPr>
              <w:t>、线下直营店盈利情况？</w:t>
            </w:r>
          </w:p>
          <w:p>
            <w:pPr>
              <w:spacing w:line="360" w:lineRule="auto"/>
              <w:ind w:firstLine="480" w:firstLineChars="200"/>
              <w:rPr>
                <w:rFonts w:hint="eastAsia" w:eastAsiaTheme="minorEastAsia"/>
                <w:sz w:val="24"/>
                <w:lang w:eastAsia="zh-CN"/>
              </w:rPr>
            </w:pPr>
            <w:r>
              <w:rPr>
                <w:rFonts w:hint="eastAsia"/>
                <w:sz w:val="24"/>
              </w:rPr>
              <w:t>答：具体到时候可见半年报披露</w:t>
            </w:r>
            <w:r>
              <w:rPr>
                <w:rFonts w:hint="eastAsia"/>
                <w:sz w:val="24"/>
                <w:lang w:eastAsia="zh-CN"/>
              </w:rPr>
              <w:t>。</w:t>
            </w:r>
          </w:p>
          <w:p>
            <w:pPr>
              <w:spacing w:line="360" w:lineRule="auto"/>
              <w:ind w:firstLine="482" w:firstLineChars="200"/>
              <w:rPr>
                <w:b/>
                <w:bCs/>
                <w:sz w:val="24"/>
              </w:rPr>
            </w:pPr>
            <w:r>
              <w:rPr>
                <w:rFonts w:hint="eastAsia"/>
                <w:b/>
                <w:bCs/>
                <w:sz w:val="24"/>
                <w:lang w:val="en-US" w:eastAsia="zh-CN"/>
              </w:rPr>
              <w:t>4</w:t>
            </w:r>
            <w:r>
              <w:rPr>
                <w:rFonts w:hint="eastAsia"/>
                <w:b/>
                <w:bCs/>
                <w:sz w:val="24"/>
              </w:rPr>
              <w:t>、公司在供应链伙伴端的优势？</w:t>
            </w:r>
          </w:p>
          <w:p>
            <w:pPr>
              <w:spacing w:line="360" w:lineRule="auto"/>
              <w:ind w:firstLine="480"/>
              <w:rPr>
                <w:rFonts w:hint="eastAsia"/>
                <w:sz w:val="24"/>
              </w:rPr>
            </w:pPr>
            <w:r>
              <w:rPr>
                <w:rFonts w:hint="eastAsia"/>
                <w:sz w:val="24"/>
              </w:rPr>
              <w:t>答：1）公司行业地位突出，作为头部品牌有资源聚拢效益，聚集了一大批各品类优质的供应商伙伴；</w:t>
            </w:r>
          </w:p>
          <w:p>
            <w:pPr>
              <w:spacing w:line="360" w:lineRule="auto"/>
              <w:ind w:firstLine="480"/>
              <w:rPr>
                <w:rFonts w:hint="eastAsia"/>
                <w:sz w:val="24"/>
              </w:rPr>
            </w:pPr>
            <w:r>
              <w:rPr>
                <w:rFonts w:hint="eastAsia"/>
                <w:sz w:val="24"/>
              </w:rPr>
              <w:t>2）公司注重推行松鼠廉政，与众多伙伴有新商业廉洁文化的底层共识，所以互信度很高；</w:t>
            </w:r>
          </w:p>
          <w:p>
            <w:pPr>
              <w:spacing w:line="360" w:lineRule="auto"/>
              <w:ind w:firstLine="480"/>
              <w:rPr>
                <w:sz w:val="24"/>
              </w:rPr>
            </w:pPr>
            <w:r>
              <w:rPr>
                <w:rFonts w:hint="eastAsia"/>
                <w:sz w:val="24"/>
              </w:rPr>
              <w:t>3）公司对供应商既严格也友好（公司有完善的供应商管理体系，对质量品质的要求高，友好在于帐期优势、技术帮助，能够帮助供应商真正与松鼠共同成长），伙伴愿意和公司建立长期价值的合作关系。</w:t>
            </w:r>
          </w:p>
          <w:p>
            <w:pPr>
              <w:spacing w:line="360" w:lineRule="auto"/>
              <w:ind w:firstLine="480" w:firstLineChars="200"/>
              <w:rPr>
                <w:b/>
                <w:bCs/>
                <w:sz w:val="24"/>
              </w:rPr>
            </w:pPr>
            <w:r>
              <w:rPr>
                <w:rFonts w:hint="eastAsia"/>
                <w:sz w:val="24"/>
                <w:lang w:val="en-US" w:eastAsia="zh-CN"/>
              </w:rPr>
              <w:t>5</w:t>
            </w:r>
            <w:r>
              <w:rPr>
                <w:rFonts w:hint="eastAsia"/>
                <w:b/>
                <w:bCs/>
                <w:sz w:val="24"/>
              </w:rPr>
              <w:t>、怎么把线上优势复制到线下？</w:t>
            </w:r>
          </w:p>
          <w:p>
            <w:pPr>
              <w:spacing w:line="360" w:lineRule="auto"/>
              <w:ind w:firstLine="480" w:firstLineChars="200"/>
              <w:rPr>
                <w:sz w:val="24"/>
              </w:rPr>
            </w:pPr>
            <w:r>
              <w:rPr>
                <w:rFonts w:hint="eastAsia"/>
                <w:sz w:val="24"/>
              </w:rPr>
              <w:t>答：通过数字化战略，以数字化为驱动，实现供应链的前置和组织的高效。用数字化的方式在线下把供应链和渠道端重做一遍。</w:t>
            </w:r>
          </w:p>
          <w:p>
            <w:pPr>
              <w:spacing w:line="360" w:lineRule="auto"/>
              <w:ind w:firstLine="482" w:firstLineChars="200"/>
              <w:rPr>
                <w:b/>
                <w:bCs/>
                <w:sz w:val="24"/>
              </w:rPr>
            </w:pPr>
            <w:r>
              <w:rPr>
                <w:rFonts w:hint="eastAsia"/>
                <w:b/>
                <w:bCs/>
                <w:sz w:val="24"/>
                <w:lang w:val="en-US" w:eastAsia="zh-CN"/>
              </w:rPr>
              <w:t>6</w:t>
            </w:r>
            <w:r>
              <w:rPr>
                <w:rFonts w:hint="eastAsia"/>
                <w:b/>
                <w:bCs/>
                <w:sz w:val="24"/>
              </w:rPr>
              <w:t>、公司复购率较高，流量成本为什么没有下降趋势？</w:t>
            </w:r>
          </w:p>
          <w:p>
            <w:pPr>
              <w:spacing w:line="360" w:lineRule="auto"/>
              <w:ind w:firstLine="480" w:firstLineChars="200"/>
              <w:rPr>
                <w:sz w:val="24"/>
              </w:rPr>
            </w:pPr>
            <w:r>
              <w:rPr>
                <w:rFonts w:hint="eastAsia"/>
                <w:sz w:val="24"/>
              </w:rPr>
              <w:t>答：公司2016年至2018年的人均消费频次（次/人/年）由1.67增加至1.83，公司二次及以上购买人均次数正在增加。公司在线上平台的用户渗透率仍较低，公司现阶段最重要的目标是提升渗透率，增加用户基数。公司采取积极的推广手段去拓展新用户，推广费的绝对值是增加的，但推广费用比例是在下降的。</w:t>
            </w:r>
          </w:p>
          <w:p>
            <w:pPr>
              <w:spacing w:line="360" w:lineRule="auto"/>
              <w:ind w:firstLine="482" w:firstLineChars="200"/>
              <w:rPr>
                <w:b/>
                <w:bCs/>
                <w:sz w:val="24"/>
              </w:rPr>
            </w:pPr>
            <w:r>
              <w:rPr>
                <w:rFonts w:hint="eastAsia"/>
                <w:b/>
                <w:bCs/>
                <w:sz w:val="24"/>
                <w:lang w:val="en-US" w:eastAsia="zh-CN"/>
              </w:rPr>
              <w:t>7</w:t>
            </w:r>
            <w:r>
              <w:rPr>
                <w:rFonts w:hint="eastAsia"/>
                <w:b/>
                <w:bCs/>
                <w:sz w:val="24"/>
              </w:rPr>
              <w:t>、投资供应链企业目的是什么？</w:t>
            </w:r>
          </w:p>
          <w:p>
            <w:pPr>
              <w:spacing w:line="360" w:lineRule="auto"/>
              <w:ind w:firstLine="480" w:firstLineChars="200"/>
              <w:rPr>
                <w:sz w:val="24"/>
              </w:rPr>
            </w:pPr>
            <w:r>
              <w:rPr>
                <w:rFonts w:hint="eastAsia"/>
                <w:sz w:val="24"/>
              </w:rPr>
              <w:t>答：资本联盟，通过财务透明实现双方合作关系的信任，共同推进数字化供应链战略。</w:t>
            </w:r>
          </w:p>
          <w:p>
            <w:pPr>
              <w:spacing w:line="360" w:lineRule="auto"/>
              <w:ind w:firstLine="482" w:firstLineChars="200"/>
              <w:rPr>
                <w:b/>
                <w:bCs/>
                <w:sz w:val="24"/>
              </w:rPr>
            </w:pPr>
            <w:r>
              <w:rPr>
                <w:rFonts w:hint="eastAsia"/>
                <w:b/>
                <w:bCs/>
                <w:sz w:val="24"/>
                <w:lang w:val="en-US" w:eastAsia="zh-CN"/>
              </w:rPr>
              <w:t>8</w:t>
            </w:r>
            <w:r>
              <w:rPr>
                <w:rFonts w:hint="eastAsia"/>
                <w:b/>
                <w:bCs/>
                <w:sz w:val="24"/>
              </w:rPr>
              <w:t>、公司怎么提升IP？</w:t>
            </w:r>
          </w:p>
          <w:p>
            <w:pPr>
              <w:spacing w:line="360" w:lineRule="auto"/>
              <w:ind w:firstLine="480" w:firstLineChars="200"/>
              <w:rPr>
                <w:sz w:val="24"/>
              </w:rPr>
            </w:pPr>
            <w:r>
              <w:rPr>
                <w:rFonts w:hint="eastAsia"/>
                <w:sz w:val="24"/>
              </w:rPr>
              <w:t>答：公司的使命里有一条：“以IP化促进品牌多元发展”，主要手段是松鼠周边、食玩及动画片等。</w:t>
            </w:r>
          </w:p>
          <w:p>
            <w:pPr>
              <w:spacing w:line="360" w:lineRule="auto"/>
              <w:ind w:firstLine="482" w:firstLineChars="200"/>
              <w:rPr>
                <w:b/>
                <w:bCs/>
                <w:sz w:val="24"/>
              </w:rPr>
            </w:pPr>
            <w:r>
              <w:rPr>
                <w:rFonts w:hint="eastAsia"/>
                <w:b/>
                <w:bCs/>
                <w:sz w:val="24"/>
                <w:lang w:val="en-US" w:eastAsia="zh-CN"/>
              </w:rPr>
              <w:t>9</w:t>
            </w:r>
            <w:r>
              <w:rPr>
                <w:rFonts w:hint="eastAsia"/>
                <w:b/>
                <w:bCs/>
                <w:sz w:val="24"/>
              </w:rPr>
              <w:t>、一家松鼠小店的投入是多少？目前开了多少家店？年收入多少？</w:t>
            </w:r>
          </w:p>
          <w:p>
            <w:pPr>
              <w:spacing w:line="360" w:lineRule="auto"/>
              <w:ind w:firstLine="480" w:firstLineChars="200"/>
              <w:rPr>
                <w:sz w:val="24"/>
              </w:rPr>
            </w:pPr>
            <w:r>
              <w:rPr>
                <w:rFonts w:hint="eastAsia"/>
                <w:sz w:val="24"/>
              </w:rPr>
              <w:t>答：开设松鼠小店的费用包括：每年4万元品牌使用费及技术服务费、6万左右的统一设计的货架费、4-6万元左右装修费用、首次10万元进货费及租金。截至2019年7月20日，已经开了90家店。2018年成立的17家店中，有47%已收回成本。</w:t>
            </w:r>
          </w:p>
          <w:p>
            <w:pPr>
              <w:spacing w:line="360" w:lineRule="auto"/>
              <w:ind w:firstLine="482" w:firstLineChars="200"/>
              <w:rPr>
                <w:b/>
                <w:bCs/>
                <w:sz w:val="24"/>
              </w:rPr>
            </w:pPr>
            <w:r>
              <w:rPr>
                <w:rFonts w:hint="eastAsia"/>
                <w:b/>
                <w:bCs/>
                <w:sz w:val="24"/>
                <w:lang w:val="en-US" w:eastAsia="zh-CN"/>
              </w:rPr>
              <w:t>1</w:t>
            </w:r>
            <w:r>
              <w:rPr>
                <w:rFonts w:hint="eastAsia"/>
                <w:b/>
                <w:bCs/>
                <w:sz w:val="24"/>
              </w:rPr>
              <w:t>0、公司的侧重点是线上超市还是旗舰店？</w:t>
            </w:r>
          </w:p>
          <w:p>
            <w:pPr>
              <w:spacing w:line="360" w:lineRule="auto"/>
              <w:ind w:firstLine="480" w:firstLineChars="200"/>
              <w:rPr>
                <w:sz w:val="24"/>
              </w:rPr>
            </w:pPr>
            <w:r>
              <w:rPr>
                <w:rFonts w:hint="eastAsia"/>
                <w:sz w:val="24"/>
              </w:rPr>
              <w:t>答：两者的运营场景有很大不同，旗舰店是品牌运营的主阵地。</w:t>
            </w:r>
          </w:p>
          <w:p>
            <w:pPr>
              <w:spacing w:line="360" w:lineRule="auto"/>
              <w:ind w:firstLine="482" w:firstLineChars="200"/>
              <w:rPr>
                <w:b/>
                <w:bCs/>
                <w:sz w:val="24"/>
              </w:rPr>
            </w:pPr>
            <w:r>
              <w:rPr>
                <w:rFonts w:hint="eastAsia"/>
                <w:b/>
                <w:bCs/>
                <w:sz w:val="24"/>
                <w:lang w:val="en-US" w:eastAsia="zh-CN"/>
              </w:rPr>
              <w:t>1</w:t>
            </w:r>
            <w:r>
              <w:rPr>
                <w:rFonts w:hint="eastAsia"/>
                <w:b/>
                <w:bCs/>
                <w:sz w:val="24"/>
              </w:rPr>
              <w:t>1、公司品类扩张有没有什么方向？未来会做零食外的产品吗？</w:t>
            </w:r>
          </w:p>
          <w:p>
            <w:pPr>
              <w:spacing w:line="360" w:lineRule="auto"/>
              <w:ind w:firstLine="480" w:firstLineChars="200"/>
              <w:rPr>
                <w:sz w:val="24"/>
              </w:rPr>
            </w:pPr>
            <w:r>
              <w:rPr>
                <w:rFonts w:hint="eastAsia"/>
                <w:sz w:val="24"/>
              </w:rPr>
              <w:t>答：只要符合“质高价优、新鲜丰富便利”快乐零食的属性，都可以考虑，公司从洞察到上新的效率是较高的。暂时没有其他产品的计划。</w:t>
            </w:r>
          </w:p>
          <w:p>
            <w:pPr>
              <w:spacing w:line="360" w:lineRule="auto"/>
              <w:ind w:firstLine="482" w:firstLineChars="200"/>
              <w:rPr>
                <w:b/>
                <w:bCs/>
                <w:sz w:val="24"/>
              </w:rPr>
            </w:pPr>
            <w:r>
              <w:rPr>
                <w:rFonts w:hint="eastAsia"/>
                <w:b/>
                <w:bCs/>
                <w:sz w:val="24"/>
                <w:lang w:val="en-US" w:eastAsia="zh-CN"/>
              </w:rPr>
              <w:t>1</w:t>
            </w:r>
            <w:r>
              <w:rPr>
                <w:rFonts w:hint="eastAsia"/>
                <w:b/>
                <w:bCs/>
                <w:sz w:val="24"/>
              </w:rPr>
              <w:t xml:space="preserve">2、线下模式对品类上是否有限制？ </w:t>
            </w:r>
          </w:p>
          <w:p>
            <w:pPr>
              <w:spacing w:line="360" w:lineRule="auto"/>
              <w:ind w:firstLine="480" w:firstLineChars="200"/>
              <w:rPr>
                <w:sz w:val="24"/>
              </w:rPr>
            </w:pPr>
            <w:r>
              <w:rPr>
                <w:rFonts w:hint="eastAsia"/>
                <w:sz w:val="24"/>
              </w:rPr>
              <w:t>答：公司认为洞察商品的线上优势会比线下强，所以新品开发策略主要来自线上对该品类市场机会的判断。进入线下，会根据渠道差异进行反向定制，需要根据线下商圈的差异来配不同的商品，有些品类会出现：标准化的品类，个性化的商品。</w:t>
            </w:r>
          </w:p>
          <w:p>
            <w:pPr>
              <w:spacing w:line="360" w:lineRule="auto"/>
              <w:ind w:firstLine="482" w:firstLineChars="200"/>
              <w:rPr>
                <w:b/>
                <w:bCs/>
                <w:sz w:val="24"/>
              </w:rPr>
            </w:pPr>
            <w:r>
              <w:rPr>
                <w:rFonts w:hint="eastAsia"/>
                <w:b/>
                <w:bCs/>
                <w:sz w:val="24"/>
                <w:lang w:val="en-US" w:eastAsia="zh-CN"/>
              </w:rPr>
              <w:t>1</w:t>
            </w:r>
            <w:r>
              <w:rPr>
                <w:rFonts w:hint="eastAsia"/>
                <w:b/>
                <w:bCs/>
                <w:sz w:val="24"/>
              </w:rPr>
              <w:t>3、组织架构和团队，这两年有没有什么变化？</w:t>
            </w:r>
          </w:p>
          <w:p>
            <w:pPr>
              <w:spacing w:line="360" w:lineRule="auto"/>
              <w:ind w:firstLine="480" w:firstLineChars="200"/>
              <w:rPr>
                <w:sz w:val="24"/>
              </w:rPr>
            </w:pPr>
            <w:r>
              <w:rPr>
                <w:rFonts w:hint="eastAsia"/>
                <w:sz w:val="24"/>
              </w:rPr>
              <w:t>答：公司一直有在调整，几乎一年调整一次，组织架构根据战略需要对管理资源进行重组，一切围绕高效来设置组织。</w:t>
            </w:r>
          </w:p>
          <w:p>
            <w:pPr>
              <w:spacing w:line="360" w:lineRule="auto"/>
              <w:ind w:firstLine="482" w:firstLineChars="200"/>
              <w:rPr>
                <w:b/>
                <w:bCs/>
                <w:sz w:val="24"/>
              </w:rPr>
            </w:pPr>
            <w:r>
              <w:rPr>
                <w:rFonts w:hint="eastAsia"/>
                <w:b/>
                <w:bCs/>
                <w:sz w:val="24"/>
                <w:lang w:val="en-US" w:eastAsia="zh-CN"/>
              </w:rPr>
              <w:t>1</w:t>
            </w:r>
            <w:r>
              <w:rPr>
                <w:rFonts w:hint="eastAsia"/>
                <w:b/>
                <w:bCs/>
                <w:sz w:val="24"/>
              </w:rPr>
              <w:t>4、公司怎么看待2017年双十一和2018年初业绩增长慢？</w:t>
            </w:r>
          </w:p>
          <w:p>
            <w:pPr>
              <w:spacing w:line="360" w:lineRule="auto"/>
              <w:ind w:firstLine="480" w:firstLineChars="200"/>
              <w:rPr>
                <w:sz w:val="24"/>
              </w:rPr>
            </w:pPr>
            <w:r>
              <w:rPr>
                <w:rFonts w:hint="eastAsia"/>
                <w:sz w:val="24"/>
              </w:rPr>
              <w:t>答：这对过去一直保持高速增长的公司来说，是一次很好的警醒，也改变了“规模大增速就会放缓”的错误认知。公司及时调整商品策略，通过推出烘焙类产品，重新获得增长的同时建立起公司对于商品洞察的模型。</w:t>
            </w:r>
          </w:p>
          <w:p>
            <w:pPr>
              <w:spacing w:line="360" w:lineRule="auto"/>
              <w:ind w:firstLine="482" w:firstLineChars="200"/>
              <w:rPr>
                <w:b/>
                <w:bCs/>
                <w:sz w:val="24"/>
              </w:rPr>
            </w:pPr>
            <w:r>
              <w:rPr>
                <w:rFonts w:hint="eastAsia"/>
                <w:b/>
                <w:bCs/>
                <w:sz w:val="24"/>
                <w:lang w:val="en-US" w:eastAsia="zh-CN"/>
              </w:rPr>
              <w:t>1</w:t>
            </w:r>
            <w:r>
              <w:rPr>
                <w:rFonts w:hint="eastAsia"/>
                <w:b/>
                <w:bCs/>
                <w:sz w:val="24"/>
              </w:rPr>
              <w:t>5、未来公司还会通过促销方式增加新用户吗？</w:t>
            </w:r>
          </w:p>
          <w:p>
            <w:pPr>
              <w:spacing w:line="360" w:lineRule="auto"/>
              <w:ind w:firstLine="480" w:firstLineChars="200"/>
              <w:rPr>
                <w:sz w:val="24"/>
              </w:rPr>
            </w:pPr>
            <w:r>
              <w:rPr>
                <w:rFonts w:hint="eastAsia"/>
                <w:sz w:val="24"/>
              </w:rPr>
              <w:t>答：目前公司在线上主要平台用户渗透率还较低，会通过“质高价优、新鲜丰富便利”的商品更好的连接用户，促销是一种常见的运营方式。</w:t>
            </w:r>
          </w:p>
          <w:p>
            <w:pPr>
              <w:spacing w:line="360" w:lineRule="auto"/>
              <w:ind w:firstLine="482" w:firstLineChars="200"/>
              <w:rPr>
                <w:b/>
                <w:bCs/>
                <w:sz w:val="24"/>
              </w:rPr>
            </w:pPr>
            <w:r>
              <w:rPr>
                <w:rFonts w:hint="eastAsia"/>
                <w:b/>
                <w:bCs/>
                <w:sz w:val="24"/>
                <w:lang w:val="en-US" w:eastAsia="zh-CN"/>
              </w:rPr>
              <w:t>1</w:t>
            </w:r>
            <w:r>
              <w:rPr>
                <w:rFonts w:hint="eastAsia"/>
                <w:b/>
                <w:bCs/>
                <w:sz w:val="24"/>
              </w:rPr>
              <w:t>6、松鼠对盈利的展望？</w:t>
            </w:r>
          </w:p>
          <w:p>
            <w:pPr>
              <w:spacing w:line="360" w:lineRule="auto"/>
              <w:ind w:firstLine="480" w:firstLineChars="200"/>
              <w:rPr>
                <w:rFonts w:hint="eastAsia"/>
                <w:sz w:val="24"/>
              </w:rPr>
            </w:pPr>
            <w:r>
              <w:rPr>
                <w:rFonts w:hint="eastAsia"/>
                <w:sz w:val="24"/>
              </w:rPr>
              <w:t>答：1）零食市场仍处于充分竞争的初级阶段，接下来还会有“仗”要打；</w:t>
            </w:r>
          </w:p>
          <w:p>
            <w:pPr>
              <w:spacing w:line="360" w:lineRule="auto"/>
              <w:ind w:firstLine="480" w:firstLineChars="200"/>
              <w:rPr>
                <w:rFonts w:hint="eastAsia"/>
                <w:sz w:val="24"/>
              </w:rPr>
            </w:pPr>
            <w:r>
              <w:rPr>
                <w:rFonts w:hint="eastAsia"/>
                <w:sz w:val="24"/>
              </w:rPr>
              <w:t>2）公司重视推进数字化供应链战略，供应链环节会有溢出价值；</w:t>
            </w:r>
          </w:p>
          <w:p>
            <w:pPr>
              <w:spacing w:line="360" w:lineRule="auto"/>
              <w:ind w:firstLine="480" w:firstLineChars="200"/>
              <w:rPr>
                <w:rFonts w:hint="eastAsia"/>
                <w:sz w:val="24"/>
              </w:rPr>
            </w:pPr>
            <w:r>
              <w:rPr>
                <w:rFonts w:hint="eastAsia"/>
                <w:sz w:val="24"/>
                <w:lang w:val="en-US" w:eastAsia="zh-CN"/>
              </w:rPr>
              <w:t>我们</w:t>
            </w:r>
            <w:r>
              <w:rPr>
                <w:rFonts w:hint="eastAsia"/>
                <w:sz w:val="24"/>
              </w:rPr>
              <w:t>认为：毛利不会有很大波动，净利会稳中向好！</w:t>
            </w:r>
          </w:p>
          <w:p>
            <w:pPr>
              <w:spacing w:line="360" w:lineRule="auto"/>
              <w:ind w:firstLine="480" w:firstLineChars="200"/>
              <w:rPr>
                <w:b/>
                <w:bCs/>
                <w:sz w:val="24"/>
              </w:rPr>
            </w:pPr>
            <w:r>
              <w:rPr>
                <w:rFonts w:hint="eastAsia"/>
                <w:sz w:val="24"/>
              </w:rPr>
              <w:t xml:space="preserve"> </w:t>
            </w:r>
            <w:r>
              <w:rPr>
                <w:rFonts w:hint="eastAsia"/>
                <w:b/>
                <w:bCs/>
                <w:sz w:val="24"/>
                <w:lang w:val="en-US" w:eastAsia="zh-CN"/>
              </w:rPr>
              <w:t>1</w:t>
            </w:r>
            <w:r>
              <w:rPr>
                <w:rFonts w:hint="eastAsia"/>
                <w:b/>
                <w:bCs/>
                <w:sz w:val="24"/>
              </w:rPr>
              <w:t>7、公司订单占据工厂产能的比例？</w:t>
            </w:r>
          </w:p>
          <w:p>
            <w:pPr>
              <w:spacing w:line="360" w:lineRule="auto"/>
              <w:ind w:firstLine="480" w:firstLineChars="200"/>
              <w:rPr>
                <w:rFonts w:ascii="宋体" w:hAnsi="宋体"/>
                <w:bCs/>
                <w:iCs/>
                <w:color w:val="000000"/>
                <w:sz w:val="24"/>
              </w:rPr>
            </w:pPr>
            <w:r>
              <w:rPr>
                <w:rFonts w:hint="eastAsia"/>
                <w:sz w:val="24"/>
              </w:rPr>
              <w:t>答：不同品类的情况不一样，跟这个行业发展现状及和公司合作深度有关系，像坚果类，上游工厂原本就比较小、散，和松鼠一起成长起来的公司订单占比就会较高，有些烘焙、果干、肉食类工厂和公司深度合作，公司订单占比也会很大。我们正在努力通过资本联盟、资产联盟、渠道联盟、品牌联盟，采取统一规划、统一设计、统一订单的形式与生产伙伴建立新的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附件清单（如有）</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tLeast"/>
              <w:rPr>
                <w:rFonts w:ascii="宋体" w:hAnsi="宋体"/>
                <w:bCs/>
                <w:iCs/>
                <w:color w:val="000000"/>
                <w:sz w:val="24"/>
              </w:rPr>
            </w:pPr>
            <w:r>
              <w:rPr>
                <w:rFonts w:hint="eastAsia" w:ascii="宋体" w:hAnsi="宋体"/>
                <w:bCs/>
                <w:iCs/>
                <w:color w:val="000000"/>
                <w:sz w:val="24"/>
              </w:rPr>
              <w:t>日期</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spacing w:line="480" w:lineRule="atLeast"/>
              <w:rPr>
                <w:rFonts w:ascii="宋体" w:hAnsi="宋体"/>
                <w:bCs/>
                <w:iCs/>
                <w:color w:val="000000"/>
                <w:sz w:val="24"/>
              </w:rPr>
            </w:pPr>
            <w:r>
              <w:rPr>
                <w:rFonts w:hint="eastAsia" w:ascii="宋体" w:hAnsi="宋体"/>
                <w:bCs/>
                <w:iCs/>
                <w:color w:val="000000"/>
                <w:sz w:val="24"/>
              </w:rPr>
              <w:t>2019年7月2</w:t>
            </w:r>
            <w:r>
              <w:rPr>
                <w:rFonts w:hint="eastAsia" w:ascii="宋体" w:hAnsi="宋体"/>
                <w:bCs/>
                <w:iCs/>
                <w:color w:val="000000"/>
                <w:sz w:val="24"/>
                <w:lang w:val="en-US" w:eastAsia="zh-CN"/>
              </w:rPr>
              <w:t>8</w:t>
            </w:r>
            <w:bookmarkStart w:id="0" w:name="_GoBack"/>
            <w:bookmarkEnd w:id="0"/>
            <w:r>
              <w:rPr>
                <w:rFonts w:hint="eastAsia" w:ascii="宋体" w:hAnsi="宋体"/>
                <w:bCs/>
                <w:iCs/>
                <w:color w:val="00000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54"/>
    <w:rsid w:val="00034260"/>
    <w:rsid w:val="0006374F"/>
    <w:rsid w:val="00067356"/>
    <w:rsid w:val="00432849"/>
    <w:rsid w:val="004837E7"/>
    <w:rsid w:val="004A2F2D"/>
    <w:rsid w:val="004B6032"/>
    <w:rsid w:val="007109F8"/>
    <w:rsid w:val="00AA32B2"/>
    <w:rsid w:val="00B37754"/>
    <w:rsid w:val="00C520B1"/>
    <w:rsid w:val="00CA5288"/>
    <w:rsid w:val="00CB3DB9"/>
    <w:rsid w:val="00E91BE1"/>
    <w:rsid w:val="00F72984"/>
    <w:rsid w:val="042F055E"/>
    <w:rsid w:val="04E51438"/>
    <w:rsid w:val="050D04AB"/>
    <w:rsid w:val="09697AC0"/>
    <w:rsid w:val="09F618CE"/>
    <w:rsid w:val="0ABD31EE"/>
    <w:rsid w:val="121B7EDB"/>
    <w:rsid w:val="122F25FC"/>
    <w:rsid w:val="14625A0E"/>
    <w:rsid w:val="1A4967D4"/>
    <w:rsid w:val="1E5954DD"/>
    <w:rsid w:val="20ED137C"/>
    <w:rsid w:val="249F5665"/>
    <w:rsid w:val="28220AFD"/>
    <w:rsid w:val="28E41B7D"/>
    <w:rsid w:val="29DE730A"/>
    <w:rsid w:val="3A742530"/>
    <w:rsid w:val="400C25DD"/>
    <w:rsid w:val="427D0B1F"/>
    <w:rsid w:val="45E82634"/>
    <w:rsid w:val="4BBC1250"/>
    <w:rsid w:val="4BEC6677"/>
    <w:rsid w:val="51216F98"/>
    <w:rsid w:val="518A6251"/>
    <w:rsid w:val="53786637"/>
    <w:rsid w:val="546C66E6"/>
    <w:rsid w:val="587A48C2"/>
    <w:rsid w:val="5E487106"/>
    <w:rsid w:val="64C2232E"/>
    <w:rsid w:val="677A3FF1"/>
    <w:rsid w:val="67E62CFA"/>
    <w:rsid w:val="6F5334E1"/>
    <w:rsid w:val="722C097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0"/>
    <w:qFormat/>
    <w:uiPriority w:val="0"/>
    <w:rPr>
      <w:rFonts w:ascii="宋体"/>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10">
    <w:name w:val="批注框文本 Char"/>
    <w:basedOn w:val="7"/>
    <w:link w:val="4"/>
    <w:qFormat/>
    <w:uiPriority w:val="0"/>
    <w:rPr>
      <w:rFonts w:ascii="宋体" w:hAnsi="Times New Roman" w:eastAsia="宋体" w:cs="Times New Roman"/>
      <w:kern w:val="2"/>
      <w:sz w:val="18"/>
      <w:szCs w:val="18"/>
    </w:rPr>
  </w:style>
  <w:style w:type="character" w:customStyle="1" w:styleId="11">
    <w:name w:val="页眉 Char"/>
    <w:basedOn w:val="7"/>
    <w:link w:val="6"/>
    <w:qFormat/>
    <w:uiPriority w:val="0"/>
    <w:rPr>
      <w:rFonts w:ascii="Times New Roman" w:hAnsi="Times New Roman" w:eastAsia="宋体" w:cs="Times New Roman"/>
      <w:kern w:val="2"/>
      <w:sz w:val="18"/>
      <w:szCs w:val="18"/>
    </w:rPr>
  </w:style>
  <w:style w:type="character" w:customStyle="1" w:styleId="12">
    <w:name w:val="页脚 Char"/>
    <w:basedOn w:val="7"/>
    <w:link w:val="5"/>
    <w:qFormat/>
    <w:uiPriority w:val="0"/>
    <w:rPr>
      <w:rFonts w:ascii="Times New Roman" w:hAnsi="Times New Roman" w:eastAsia="宋体" w:cs="Times New Roman"/>
      <w:kern w:val="2"/>
      <w:sz w:val="18"/>
      <w:szCs w:val="18"/>
    </w:rPr>
  </w:style>
  <w:style w:type="character" w:customStyle="1" w:styleId="13">
    <w:name w:val="批注文字 Char"/>
    <w:basedOn w:val="7"/>
    <w:link w:val="3"/>
    <w:qFormat/>
    <w:uiPriority w:val="0"/>
    <w:rPr>
      <w:rFonts w:ascii="Times New Roman" w:hAnsi="Times New Roman" w:eastAsia="宋体" w:cs="Times New Roman"/>
      <w:kern w:val="2"/>
      <w:sz w:val="21"/>
      <w:szCs w:val="24"/>
    </w:rPr>
  </w:style>
  <w:style w:type="character" w:customStyle="1" w:styleId="14">
    <w:name w:val="批注主题 Char"/>
    <w:basedOn w:val="13"/>
    <w:link w:val="2"/>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538</Words>
  <Characters>3073</Characters>
  <Lines>25</Lines>
  <Paragraphs>7</Paragraphs>
  <TotalTime>4</TotalTime>
  <ScaleCrop>false</ScaleCrop>
  <LinksUpToDate>false</LinksUpToDate>
  <CharactersWithSpaces>3604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2019-07-26T07:41:00Z</dcterms:created>
  <dc:creator>skd004</dc:creator>
  <cp:lastModifiedBy>73591</cp:lastModifiedBy>
  <dcterms:modified xsi:type="dcterms:W3CDTF">2019-07-28T09:25:31Z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