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1855" w14:textId="77777777" w:rsidR="0025390E" w:rsidRDefault="00277E4D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 xml:space="preserve">000959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证券简称：首钢股份</w:t>
      </w:r>
    </w:p>
    <w:p w14:paraId="25041856" w14:textId="77777777" w:rsidR="0025390E" w:rsidRDefault="00277E4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北京首钢股份有限公司投资者关系活动记录表</w:t>
      </w:r>
    </w:p>
    <w:p w14:paraId="25041857" w14:textId="77777777" w:rsidR="0025390E" w:rsidRDefault="00277E4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 w:hint="eastAsia"/>
          <w:bCs/>
          <w:iCs/>
          <w:color w:val="000000"/>
          <w:sz w:val="24"/>
        </w:rPr>
        <w:t>2019-0</w:t>
      </w:r>
      <w:r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25390E" w14:paraId="2504185F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58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25041859" w14:textId="77777777" w:rsidR="0025390E" w:rsidRDefault="002539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5A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特定对象调研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2504185B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媒体采访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2504185C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新闻发布会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2504185D" w14:textId="77777777" w:rsidR="0025390E" w:rsidRDefault="00277E4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2504185E" w14:textId="77777777" w:rsidR="0025390E" w:rsidRDefault="00277E4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25390E" w14:paraId="25041862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60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61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STXihei" w:eastAsia="STXihei" w:hAnsi="STXihei" w:cs="STXihei" w:hint="eastAsia"/>
                <w:sz w:val="22"/>
                <w:szCs w:val="28"/>
              </w:rPr>
              <w:t>本次会议有长江证券、中泰证券、光大证券、华泰证券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、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川财证券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等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10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余家公司的分析师参会</w:t>
            </w:r>
          </w:p>
        </w:tc>
      </w:tr>
      <w:tr w:rsidR="0025390E" w14:paraId="25041865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63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64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STXihei" w:eastAsia="STXihei" w:hAnsi="STXihei" w:cs="STXihei" w:hint="eastAsia"/>
                <w:sz w:val="22"/>
                <w:szCs w:val="28"/>
              </w:rPr>
              <w:t>2019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年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7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月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2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5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日上午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09:30</w:t>
            </w:r>
            <w:r>
              <w:rPr>
                <w:rFonts w:ascii="STXihei" w:eastAsia="STXihei" w:hAnsi="STXihei" w:cs="STXihei"/>
                <w:sz w:val="22"/>
                <w:szCs w:val="28"/>
              </w:rPr>
              <w:t>—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11:00</w:t>
            </w:r>
          </w:p>
        </w:tc>
      </w:tr>
      <w:tr w:rsidR="0025390E" w14:paraId="25041868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66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67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STXihei" w:eastAsia="STXihei" w:hAnsi="STXihei" w:cs="STXihei" w:hint="eastAsia"/>
                <w:sz w:val="22"/>
                <w:szCs w:val="28"/>
              </w:rPr>
              <w:t>公司会议室</w:t>
            </w:r>
          </w:p>
        </w:tc>
      </w:tr>
      <w:tr w:rsidR="0025390E" w14:paraId="2504186B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69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6A" w14:textId="77777777" w:rsidR="0025390E" w:rsidRDefault="00277E4D">
            <w:pPr>
              <w:spacing w:line="480" w:lineRule="atLeast"/>
              <w:rPr>
                <w:rFonts w:ascii="宋体" w:eastAsia="STXihei" w:hAnsi="宋体"/>
                <w:bCs/>
                <w:iCs/>
                <w:color w:val="000000"/>
                <w:sz w:val="24"/>
              </w:rPr>
            </w:pPr>
            <w:r>
              <w:rPr>
                <w:rFonts w:ascii="STXihei" w:eastAsia="STXihei" w:hAnsi="STXihei" w:cs="STXihei" w:hint="eastAsia"/>
                <w:sz w:val="22"/>
                <w:szCs w:val="28"/>
              </w:rPr>
              <w:t>公司副总经理兼董事会秘书陈益以及运营规划部、制造部、环保部、营销中心、采购中心；中首公司；京唐公司；冷轧公司；智新电磁公司等有关负责人</w:t>
            </w:r>
          </w:p>
        </w:tc>
      </w:tr>
      <w:tr w:rsidR="0025390E" w14:paraId="25041884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186C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2504186D" w14:textId="77777777" w:rsidR="0025390E" w:rsidRDefault="0025390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6E" w14:textId="77777777" w:rsidR="0025390E" w:rsidRDefault="00277E4D">
            <w:pPr>
              <w:spacing w:line="360" w:lineRule="auto"/>
              <w:ind w:firstLineChars="150" w:firstLine="330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sz w:val="22"/>
                <w:szCs w:val="28"/>
              </w:rPr>
              <w:t>本次说明会采用电话会议的方式，主要就首钢股份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201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9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年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半年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度业绩情况进行说明并对投资者所关心的问题进行解答。</w:t>
            </w:r>
          </w:p>
          <w:p w14:paraId="2504186F" w14:textId="77777777" w:rsidR="0025390E" w:rsidRDefault="00277E4D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本次会议的情况介绍</w:t>
            </w:r>
          </w:p>
          <w:p w14:paraId="25041870" w14:textId="77777777" w:rsidR="0025390E" w:rsidRDefault="00277E4D">
            <w:pPr>
              <w:spacing w:line="360" w:lineRule="auto"/>
              <w:ind w:firstLineChars="150" w:firstLine="330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sz w:val="22"/>
                <w:szCs w:val="28"/>
              </w:rPr>
              <w:t>会议首先由公司副总经理兼董事会秘书陈益对公司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2019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年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半年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度的生产经营情况及取得的业绩成果进行了说明。</w:t>
            </w:r>
          </w:p>
          <w:p w14:paraId="25041871" w14:textId="77777777" w:rsidR="0025390E" w:rsidRDefault="00277E4D">
            <w:pPr>
              <w:spacing w:line="360" w:lineRule="auto"/>
              <w:ind w:firstLineChars="150" w:firstLine="330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sz w:val="22"/>
                <w:szCs w:val="28"/>
              </w:rPr>
              <w:t>随后进入投资者提问环节，投资者关心的主要问题及公司回复内容如下：</w:t>
            </w:r>
          </w:p>
          <w:p w14:paraId="25041872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b/>
                <w:bCs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1.</w:t>
            </w: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二季度</w:t>
            </w:r>
            <w:proofErr w:type="gramStart"/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业绩环</w:t>
            </w:r>
            <w:proofErr w:type="gramEnd"/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比增长</w:t>
            </w: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165%</w:t>
            </w: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，好于一季度的原因？</w:t>
            </w:r>
          </w:p>
          <w:p w14:paraId="25041873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公司二季度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业绩环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比大幅增长，一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是迁钢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、京唐两基地生产顺稳，铁、钢、热轧、商品材、发电量均超计划完成，各项指标打出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2011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年以来最好水平。二是品种结构持续优化，实现品种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钢整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lastRenderedPageBreak/>
              <w:t>体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增量，外销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普材比例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降低，产品结构增效显著提升。尤其是提升汽车酸洗板、无取向高牌号、取向电工钢、马口铁、集装箱板等市场整体处于高位产品的产量；不断提高“制造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+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服务”能力，中高端产品用户比例持续提升。三是加大降本力度，根据市场变化，通过波段采购进口矿，控制好铁矿石成本；根据废钢价格变化调整采购量；加大固废消化，配吃渣铁渣钢，减少废钢采购等有效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措施。</w:t>
            </w:r>
          </w:p>
          <w:p w14:paraId="25041874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b/>
                <w:bCs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2.</w:t>
            </w: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公司汽车板订单情况？</w:t>
            </w:r>
          </w:p>
          <w:p w14:paraId="25041875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首钢汽车板直供和三方直供用户比例达到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90%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以上，与多数行业龙头用户长期开展战略合作，渠道结构合理稳定，具有健全的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的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营销服务体系和能力，为客户提供差异化个性化的营销体验，能够快速响应市场需求，为用户提供高效、快捷、可靠的服务，抗风险能力强。</w:t>
            </w:r>
          </w:p>
          <w:p w14:paraId="25041876" w14:textId="77777777" w:rsidR="0025390E" w:rsidRDefault="00277E4D">
            <w:pPr>
              <w:spacing w:line="360" w:lineRule="auto"/>
              <w:ind w:firstLineChars="150" w:firstLine="330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sz w:val="22"/>
                <w:szCs w:val="28"/>
              </w:rPr>
              <w:t>上半年汽车行业产量同比分别下降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13.7%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，首钢上半年汽车板产量同比略有下降，降幅低于行业，虽订单量较去年同期有所减少，但主机厂份额保持稳定，并有所增长。上半年日系、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德系及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国内自主品牌等知名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车企合同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量份额较去年增长，订单量相比去年同期增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加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10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万吨。</w:t>
            </w:r>
          </w:p>
          <w:p w14:paraId="25041877" w14:textId="77777777" w:rsidR="0025390E" w:rsidRDefault="00277E4D">
            <w:pPr>
              <w:spacing w:line="360" w:lineRule="auto"/>
              <w:ind w:firstLineChars="150" w:firstLine="330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sz w:val="22"/>
                <w:szCs w:val="28"/>
              </w:rPr>
              <w:t>公司在保证汽车板合同组织计划完成的同时，积极平衡汽车板量、价、效益的关系，优化汽车板合同接单结构，依照效益优先原则优先组织高价高效的产品，控制好接单的价格水平，实现销售计划。</w:t>
            </w:r>
          </w:p>
          <w:p w14:paraId="25041878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b/>
                <w:bCs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3.</w:t>
            </w: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所得税税率较低的原因？</w:t>
            </w:r>
          </w:p>
          <w:p w14:paraId="25041879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2018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年，公司获得高新技术企业认证，根据北京市《高新技术企业认定管理工作指引》，享受所得税由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25%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降到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15%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的优惠政策。</w:t>
            </w:r>
          </w:p>
          <w:p w14:paraId="2504187A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b/>
                <w:bCs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4.</w:t>
            </w: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公司如何降低铁矿石采购成本？预计铁矿石价格高位会维持多久？若持续高位，公司如何应对？</w:t>
            </w:r>
          </w:p>
          <w:p w14:paraId="2504187B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今年上半年，为应对铁矿石市场价格高位波动存在的不确定性，公司构建内部市场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化机制，积极开展贸易矿采购、进口矿波段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lastRenderedPageBreak/>
              <w:t>采购，降低采购成本跑赢市场。</w:t>
            </w:r>
          </w:p>
          <w:p w14:paraId="2504187C" w14:textId="77777777" w:rsidR="0025390E" w:rsidRDefault="00277E4D">
            <w:pPr>
              <w:spacing w:line="360" w:lineRule="auto"/>
              <w:ind w:firstLineChars="150" w:firstLine="330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sz w:val="22"/>
                <w:szCs w:val="28"/>
              </w:rPr>
              <w:t>二季度以来铁矿石指数持续高位震荡，从供需角度看：供给端，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澳矿巴矿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发货量持续提升；需求端，下半年对钢厂的环保限产预期增强。需求收缩，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矿价会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有所回调，但不会快速下滑，仍然会维持相对高位，上半年普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氏指数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90-100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多美金，预计全年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85-90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美金波动。</w:t>
            </w:r>
          </w:p>
          <w:p w14:paraId="2504187D" w14:textId="77777777" w:rsidR="0025390E" w:rsidRDefault="00277E4D">
            <w:pPr>
              <w:spacing w:line="360" w:lineRule="auto"/>
              <w:ind w:firstLineChars="150" w:firstLine="330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sz w:val="22"/>
                <w:szCs w:val="28"/>
              </w:rPr>
              <w:t>若铁矿石价格持续高位，公司将采取相应的应对措施，如：维持原料低库存来降低原料库存对资金的占用比例，减小市场突变造成的库存减值损失；根据市场变化进行分析判断，把握节奏，灵活运用美元及人民币市场差异，做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好原料波段采购，降低原料成本；部分选择开发其他资源渠道，最大限度规避主流进口矿涨价风险等措施，有效降低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高位矿价对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公司的影响。</w:t>
            </w:r>
          </w:p>
          <w:p w14:paraId="2504187E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b/>
                <w:bCs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5.</w:t>
            </w: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公司国内外矿粉使用率多少？</w:t>
            </w:r>
          </w:p>
          <w:p w14:paraId="2504187F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京唐公司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100%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使用进口矿。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迁钢公司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使用国内矿粉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40-45%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左右。</w:t>
            </w:r>
          </w:p>
          <w:p w14:paraId="25041880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b/>
                <w:bCs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6.</w:t>
            </w: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环保限产对三季度产量的影响？</w:t>
            </w:r>
          </w:p>
          <w:p w14:paraId="25041881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公司高度关注环保形势，合理安排生产，严格按照政府的各项要求，履行社会责任，做好限产工作。如：将检修周期与环保限产高度重合，最大限度降低环保限产对生产的影响。公司是超低排放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A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类企业，限产比例最低，公司将制定合理的限产减排方案，同时，可选择通过阶段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性外购烧结矿、配吃废钢、钢渣等措施，有效降低环保限产对生产的影响。</w:t>
            </w:r>
          </w:p>
          <w:p w14:paraId="25041882" w14:textId="77777777" w:rsidR="0025390E" w:rsidRDefault="00277E4D">
            <w:pPr>
              <w:spacing w:line="360" w:lineRule="auto"/>
              <w:ind w:firstLineChars="150" w:firstLine="331"/>
              <w:rPr>
                <w:rFonts w:ascii="STXihei" w:eastAsia="STXihei" w:hAnsi="STXihei" w:cs="STXihei"/>
                <w:b/>
                <w:bCs/>
                <w:sz w:val="22"/>
                <w:szCs w:val="28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7.</w:t>
            </w: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京唐二期进度如何？</w:t>
            </w:r>
          </w:p>
          <w:p w14:paraId="25041883" w14:textId="77777777" w:rsidR="0025390E" w:rsidRDefault="00277E4D">
            <w:pPr>
              <w:spacing w:line="360" w:lineRule="auto"/>
              <w:ind w:firstLineChars="150" w:firstLine="331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STXihei" w:eastAsia="STXihei" w:hAnsi="STXihei" w:cs="STXihei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STXihei" w:eastAsia="STXihei" w:hAnsi="STXihei" w:cs="STXihei" w:hint="eastAsia"/>
                <w:sz w:val="22"/>
                <w:szCs w:val="28"/>
              </w:rPr>
              <w:t>目前，京唐二期一步项目已进入调试阶段，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具备投产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条件，待办理</w:t>
            </w:r>
            <w:proofErr w:type="gramStart"/>
            <w:r>
              <w:rPr>
                <w:rFonts w:ascii="STXihei" w:eastAsia="STXihei" w:hAnsi="STXihei" w:cs="STXihei" w:hint="eastAsia"/>
                <w:sz w:val="22"/>
                <w:szCs w:val="28"/>
              </w:rPr>
              <w:t>完相关</w:t>
            </w:r>
            <w:proofErr w:type="gramEnd"/>
            <w:r>
              <w:rPr>
                <w:rFonts w:ascii="STXihei" w:eastAsia="STXihei" w:hAnsi="STXihei" w:cs="STXihei" w:hint="eastAsia"/>
                <w:sz w:val="22"/>
                <w:szCs w:val="28"/>
              </w:rPr>
              <w:t>手续后，择机投产。</w:t>
            </w:r>
          </w:p>
        </w:tc>
      </w:tr>
      <w:tr w:rsidR="0025390E" w14:paraId="25041887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1885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86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25390E" w14:paraId="2504188A" w14:textId="77777777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1888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889" w14:textId="77777777" w:rsidR="0025390E" w:rsidRDefault="00277E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2504188B" w14:textId="77777777" w:rsidR="0025390E" w:rsidRDefault="0025390E">
      <w:pPr>
        <w:jc w:val="center"/>
        <w:rPr>
          <w:rFonts w:ascii="宋体" w:hAnsi="宋体"/>
          <w:sz w:val="28"/>
          <w:szCs w:val="28"/>
        </w:rPr>
      </w:pPr>
    </w:p>
    <w:p w14:paraId="2504188C" w14:textId="77777777" w:rsidR="0025390E" w:rsidRDefault="0025390E"/>
    <w:sectPr w:rsidR="00253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DA6C" w14:textId="77777777" w:rsidR="00277E4D" w:rsidRDefault="00277E4D" w:rsidP="00277E4D">
      <w:r>
        <w:separator/>
      </w:r>
    </w:p>
  </w:endnote>
  <w:endnote w:type="continuationSeparator" w:id="0">
    <w:p w14:paraId="5A818996" w14:textId="77777777" w:rsidR="00277E4D" w:rsidRDefault="00277E4D" w:rsidP="0027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A65B" w14:textId="77777777" w:rsidR="00277E4D" w:rsidRDefault="00277E4D" w:rsidP="00277E4D">
      <w:r>
        <w:separator/>
      </w:r>
    </w:p>
  </w:footnote>
  <w:footnote w:type="continuationSeparator" w:id="0">
    <w:p w14:paraId="52A974B1" w14:textId="77777777" w:rsidR="00277E4D" w:rsidRDefault="00277E4D" w:rsidP="0027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3A"/>
    <w:rsid w:val="001D4937"/>
    <w:rsid w:val="0025390E"/>
    <w:rsid w:val="00277E4D"/>
    <w:rsid w:val="003A34C4"/>
    <w:rsid w:val="004D1EB4"/>
    <w:rsid w:val="00571851"/>
    <w:rsid w:val="00674DF7"/>
    <w:rsid w:val="006A0183"/>
    <w:rsid w:val="006B020E"/>
    <w:rsid w:val="006F386E"/>
    <w:rsid w:val="00780EC1"/>
    <w:rsid w:val="007B5BF9"/>
    <w:rsid w:val="00801EFF"/>
    <w:rsid w:val="00824E98"/>
    <w:rsid w:val="0086531C"/>
    <w:rsid w:val="008B7543"/>
    <w:rsid w:val="009E5460"/>
    <w:rsid w:val="00B00F91"/>
    <w:rsid w:val="00B41B25"/>
    <w:rsid w:val="00C57DFA"/>
    <w:rsid w:val="00ED62A2"/>
    <w:rsid w:val="00EF2450"/>
    <w:rsid w:val="00F9233A"/>
    <w:rsid w:val="09A97634"/>
    <w:rsid w:val="09B97384"/>
    <w:rsid w:val="0DF45212"/>
    <w:rsid w:val="0FEB2ED3"/>
    <w:rsid w:val="122C0A39"/>
    <w:rsid w:val="1672708C"/>
    <w:rsid w:val="16940615"/>
    <w:rsid w:val="16A06117"/>
    <w:rsid w:val="18390741"/>
    <w:rsid w:val="1C780A96"/>
    <w:rsid w:val="1CDB145A"/>
    <w:rsid w:val="29A06631"/>
    <w:rsid w:val="32882BCA"/>
    <w:rsid w:val="479E3262"/>
    <w:rsid w:val="494331D7"/>
    <w:rsid w:val="4CB538C6"/>
    <w:rsid w:val="606D0F41"/>
    <w:rsid w:val="608632E0"/>
    <w:rsid w:val="6319174F"/>
    <w:rsid w:val="684939E9"/>
    <w:rsid w:val="688B69F5"/>
    <w:rsid w:val="701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41855"/>
  <w15:docId w15:val="{A47FD018-B0D4-432B-9107-869C5283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er" w:qFormat="1"/>
    <w:lsdException w:name="footer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4</DocSecurity>
  <Lines>14</Lines>
  <Paragraphs>3</Paragraphs>
  <ScaleCrop>false</ScaleCrop>
  <Company>sggf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附件一、投资者关系活动记录表格式</dc:title>
  <dc:creator>许凡</dc:creator>
  <cp:lastModifiedBy> </cp:lastModifiedBy>
  <cp:revision>2</cp:revision>
  <cp:lastPrinted>2019-07-26T03:13:00Z</cp:lastPrinted>
  <dcterms:created xsi:type="dcterms:W3CDTF">2019-07-29T01:36:00Z</dcterms:created>
  <dcterms:modified xsi:type="dcterms:W3CDTF">2019-07-29T01:36:00Z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