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52" w:rsidRDefault="00E162E5" w:rsidP="0060432F">
      <w:pPr>
        <w:spacing w:after="240"/>
        <w:rPr>
          <w:rFonts w:ascii="宋体"/>
          <w:b/>
          <w:sz w:val="24"/>
          <w:szCs w:val="24"/>
        </w:rPr>
      </w:pPr>
      <w:r>
        <w:rPr>
          <w:rFonts w:ascii="宋体" w:hAnsi="宋体" w:hint="eastAsia"/>
          <w:bCs/>
          <w:iCs/>
          <w:sz w:val="24"/>
          <w:szCs w:val="24"/>
        </w:rPr>
        <w:t>证券代码：</w:t>
      </w:r>
      <w:r>
        <w:rPr>
          <w:rFonts w:ascii="宋体" w:hAnsi="宋体"/>
          <w:bCs/>
          <w:iCs/>
          <w:sz w:val="24"/>
          <w:szCs w:val="24"/>
        </w:rPr>
        <w:t xml:space="preserve">002178                     </w:t>
      </w:r>
      <w:r>
        <w:rPr>
          <w:rFonts w:ascii="宋体" w:hAnsi="宋体" w:hint="eastAsia"/>
          <w:bCs/>
          <w:iCs/>
          <w:sz w:val="24"/>
          <w:szCs w:val="24"/>
        </w:rPr>
        <w:t xml:space="preserve"> </w:t>
      </w:r>
      <w:r>
        <w:rPr>
          <w:rFonts w:ascii="宋体" w:hAnsi="宋体"/>
          <w:bCs/>
          <w:iCs/>
          <w:sz w:val="24"/>
          <w:szCs w:val="24"/>
        </w:rPr>
        <w:t xml:space="preserve"> </w:t>
      </w:r>
      <w:r>
        <w:rPr>
          <w:rFonts w:ascii="宋体" w:hAnsi="宋体" w:hint="eastAsia"/>
          <w:bCs/>
          <w:iCs/>
          <w:sz w:val="24"/>
          <w:szCs w:val="24"/>
        </w:rPr>
        <w:t xml:space="preserve"> </w:t>
      </w:r>
      <w:r>
        <w:rPr>
          <w:rFonts w:ascii="宋体" w:hAnsi="宋体"/>
          <w:bCs/>
          <w:iCs/>
          <w:sz w:val="24"/>
          <w:szCs w:val="24"/>
        </w:rPr>
        <w:t xml:space="preserve">       </w:t>
      </w:r>
      <w:r>
        <w:rPr>
          <w:rFonts w:ascii="宋体" w:hAnsi="宋体" w:hint="eastAsia"/>
          <w:bCs/>
          <w:iCs/>
          <w:sz w:val="24"/>
          <w:szCs w:val="24"/>
        </w:rPr>
        <w:t xml:space="preserve"> </w:t>
      </w:r>
      <w:r>
        <w:rPr>
          <w:rFonts w:ascii="宋体" w:hAnsi="宋体"/>
          <w:bCs/>
          <w:iCs/>
          <w:sz w:val="24"/>
          <w:szCs w:val="24"/>
        </w:rPr>
        <w:t xml:space="preserve">  </w:t>
      </w:r>
      <w:r>
        <w:rPr>
          <w:rFonts w:ascii="宋体" w:hAnsi="宋体" w:hint="eastAsia"/>
          <w:bCs/>
          <w:iCs/>
          <w:sz w:val="24"/>
          <w:szCs w:val="24"/>
        </w:rPr>
        <w:t>证券简称：延华智能</w:t>
      </w:r>
    </w:p>
    <w:p w:rsidR="00F76C52" w:rsidRDefault="00E162E5">
      <w:pPr>
        <w:spacing w:beforeLines="50" w:before="156" w:afterLines="50" w:after="156" w:line="400" w:lineRule="exact"/>
        <w:jc w:val="center"/>
        <w:rPr>
          <w:rFonts w:ascii="宋体" w:hAnsi="宋体"/>
          <w:b/>
          <w:bCs/>
          <w:iCs/>
          <w:sz w:val="28"/>
          <w:szCs w:val="28"/>
        </w:rPr>
      </w:pPr>
      <w:r>
        <w:rPr>
          <w:rFonts w:ascii="宋体" w:hAnsi="宋体" w:hint="eastAsia"/>
          <w:b/>
          <w:bCs/>
          <w:iCs/>
          <w:sz w:val="28"/>
          <w:szCs w:val="28"/>
        </w:rPr>
        <w:t>上海延华智能科技（集团）股份有限公司</w:t>
      </w:r>
    </w:p>
    <w:p w:rsidR="00F76C52" w:rsidRDefault="00E162E5">
      <w:pPr>
        <w:spacing w:beforeLines="50" w:before="156" w:afterLines="50" w:after="156" w:line="400" w:lineRule="exact"/>
        <w:jc w:val="center"/>
        <w:rPr>
          <w:rFonts w:ascii="宋体"/>
          <w:b/>
          <w:bCs/>
          <w:iCs/>
          <w:sz w:val="28"/>
          <w:szCs w:val="28"/>
        </w:rPr>
      </w:pPr>
      <w:r>
        <w:rPr>
          <w:rFonts w:ascii="宋体" w:hAnsi="宋体" w:hint="eastAsia"/>
          <w:b/>
          <w:bCs/>
          <w:iCs/>
          <w:sz w:val="28"/>
          <w:szCs w:val="28"/>
        </w:rPr>
        <w:t>投资者关系活动记录表</w:t>
      </w:r>
    </w:p>
    <w:p w:rsidR="00F76C52" w:rsidRDefault="00E162E5">
      <w:pPr>
        <w:spacing w:line="400" w:lineRule="exact"/>
        <w:rPr>
          <w:rFonts w:ascii="宋体"/>
          <w:bCs/>
          <w:iCs/>
          <w:sz w:val="24"/>
          <w:szCs w:val="24"/>
        </w:rPr>
      </w:pPr>
      <w:r>
        <w:rPr>
          <w:rFonts w:ascii="宋体" w:hAnsi="宋体"/>
          <w:bCs/>
          <w:iCs/>
          <w:sz w:val="28"/>
          <w:szCs w:val="28"/>
        </w:rPr>
        <w:t xml:space="preserve">                                              </w:t>
      </w:r>
      <w:r>
        <w:rPr>
          <w:rFonts w:ascii="宋体" w:hAnsi="宋体" w:hint="eastAsia"/>
          <w:bCs/>
          <w:iCs/>
          <w:sz w:val="24"/>
          <w:szCs w:val="24"/>
        </w:rPr>
        <w:t>编号：</w:t>
      </w:r>
      <w:r>
        <w:rPr>
          <w:rFonts w:ascii="宋体" w:hAnsi="宋体"/>
          <w:bCs/>
          <w:iCs/>
          <w:sz w:val="24"/>
          <w:szCs w:val="24"/>
        </w:rPr>
        <w:t>2019</w:t>
      </w:r>
      <w:r>
        <w:rPr>
          <w:rFonts w:ascii="宋体" w:hAnsi="宋体" w:hint="eastAsia"/>
          <w:bCs/>
          <w:iCs/>
          <w:sz w:val="24"/>
          <w:szCs w:val="24"/>
        </w:rPr>
        <w:t>－001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6434"/>
      </w:tblGrid>
      <w:tr w:rsidR="00F76C52">
        <w:tc>
          <w:tcPr>
            <w:tcW w:w="1862" w:type="dxa"/>
            <w:vAlign w:val="center"/>
          </w:tcPr>
          <w:p w:rsidR="00B209A1" w:rsidRDefault="00E162E5">
            <w:pPr>
              <w:spacing w:line="480" w:lineRule="atLeast"/>
              <w:jc w:val="center"/>
              <w:rPr>
                <w:rFonts w:ascii="宋体" w:hAnsi="宋体"/>
                <w:b/>
                <w:bCs/>
                <w:iCs/>
                <w:sz w:val="24"/>
                <w:szCs w:val="24"/>
              </w:rPr>
            </w:pPr>
            <w:r>
              <w:rPr>
                <w:rFonts w:ascii="宋体" w:hAnsi="宋体" w:hint="eastAsia"/>
                <w:b/>
                <w:bCs/>
                <w:iCs/>
                <w:sz w:val="24"/>
                <w:szCs w:val="24"/>
              </w:rPr>
              <w:t>投资者关系</w:t>
            </w:r>
          </w:p>
          <w:p w:rsidR="00F76C52" w:rsidRDefault="00E162E5">
            <w:pPr>
              <w:spacing w:line="480" w:lineRule="atLeast"/>
              <w:jc w:val="center"/>
              <w:rPr>
                <w:rFonts w:ascii="宋体"/>
                <w:b/>
                <w:bCs/>
                <w:iCs/>
                <w:sz w:val="24"/>
                <w:szCs w:val="24"/>
              </w:rPr>
            </w:pPr>
            <w:r>
              <w:rPr>
                <w:rFonts w:ascii="宋体" w:hAnsi="宋体" w:hint="eastAsia"/>
                <w:b/>
                <w:bCs/>
                <w:iCs/>
                <w:sz w:val="24"/>
                <w:szCs w:val="24"/>
              </w:rPr>
              <w:t>活动类别</w:t>
            </w:r>
          </w:p>
        </w:tc>
        <w:tc>
          <w:tcPr>
            <w:tcW w:w="6434" w:type="dxa"/>
            <w:vAlign w:val="center"/>
          </w:tcPr>
          <w:p w:rsidR="00F76C52" w:rsidRDefault="00E162E5">
            <w:pPr>
              <w:spacing w:line="480" w:lineRule="atLeast"/>
              <w:rPr>
                <w:rFonts w:ascii="宋体"/>
                <w:bCs/>
                <w:iCs/>
                <w:sz w:val="24"/>
                <w:szCs w:val="24"/>
              </w:rPr>
            </w:pPr>
            <w:r>
              <w:rPr>
                <w:rFonts w:ascii="MS Gothic" w:eastAsia="MS Gothic" w:hAnsi="MS Gothic" w:hint="eastAsia"/>
                <w:sz w:val="24"/>
                <w:szCs w:val="24"/>
              </w:rPr>
              <w:t>☑</w:t>
            </w:r>
            <w:r>
              <w:rPr>
                <w:rFonts w:ascii="宋体" w:hAnsi="宋体" w:hint="eastAsia"/>
                <w:sz w:val="24"/>
                <w:szCs w:val="24"/>
              </w:rPr>
              <w:t>特定对象调研</w:t>
            </w:r>
            <w:r w:rsidR="00253478">
              <w:rPr>
                <w:rFonts w:ascii="宋体" w:hAnsi="宋体"/>
                <w:sz w:val="24"/>
                <w:szCs w:val="24"/>
              </w:rPr>
              <w:t xml:space="preserve">     </w:t>
            </w:r>
            <w:r>
              <w:rPr>
                <w:rFonts w:ascii="宋体" w:hAnsi="宋体" w:hint="eastAsia"/>
                <w:bCs/>
                <w:iCs/>
                <w:sz w:val="24"/>
                <w:szCs w:val="24"/>
              </w:rPr>
              <w:t>□</w:t>
            </w:r>
            <w:r>
              <w:rPr>
                <w:rFonts w:ascii="宋体" w:hAnsi="宋体" w:hint="eastAsia"/>
                <w:sz w:val="24"/>
                <w:szCs w:val="24"/>
              </w:rPr>
              <w:t>分析师会议</w:t>
            </w:r>
          </w:p>
          <w:p w:rsidR="00F76C52" w:rsidRDefault="00E162E5">
            <w:pPr>
              <w:spacing w:line="480" w:lineRule="atLeast"/>
              <w:rPr>
                <w:rFonts w:ascii="宋体"/>
                <w:bCs/>
                <w:iCs/>
                <w:sz w:val="24"/>
                <w:szCs w:val="24"/>
              </w:rPr>
            </w:pPr>
            <w:r>
              <w:rPr>
                <w:rFonts w:ascii="宋体" w:hAnsi="宋体" w:hint="eastAsia"/>
                <w:bCs/>
                <w:iCs/>
                <w:sz w:val="24"/>
                <w:szCs w:val="24"/>
              </w:rPr>
              <w:t>□</w:t>
            </w:r>
            <w:r>
              <w:rPr>
                <w:rFonts w:ascii="宋体" w:hAnsi="宋体" w:hint="eastAsia"/>
                <w:sz w:val="24"/>
                <w:szCs w:val="24"/>
              </w:rPr>
              <w:t>媒体采访</w:t>
            </w:r>
            <w:r w:rsidR="00253478">
              <w:rPr>
                <w:rFonts w:ascii="宋体" w:hAnsi="宋体"/>
                <w:sz w:val="24"/>
                <w:szCs w:val="24"/>
              </w:rPr>
              <w:t xml:space="preserve">         </w:t>
            </w:r>
            <w:r>
              <w:rPr>
                <w:rFonts w:ascii="宋体" w:hAnsi="宋体" w:hint="eastAsia"/>
                <w:bCs/>
                <w:iCs/>
                <w:sz w:val="24"/>
                <w:szCs w:val="24"/>
              </w:rPr>
              <w:t>□</w:t>
            </w:r>
            <w:r>
              <w:rPr>
                <w:rFonts w:ascii="宋体" w:hAnsi="宋体" w:hint="eastAsia"/>
                <w:sz w:val="24"/>
                <w:szCs w:val="24"/>
              </w:rPr>
              <w:t>业绩说明会</w:t>
            </w:r>
          </w:p>
          <w:p w:rsidR="00F76C52" w:rsidRDefault="00E162E5">
            <w:pPr>
              <w:spacing w:line="480" w:lineRule="atLeast"/>
              <w:rPr>
                <w:rFonts w:ascii="宋体"/>
                <w:bCs/>
                <w:iCs/>
                <w:sz w:val="24"/>
                <w:szCs w:val="24"/>
              </w:rPr>
            </w:pPr>
            <w:r>
              <w:rPr>
                <w:rFonts w:ascii="宋体" w:hAnsi="宋体" w:hint="eastAsia"/>
                <w:bCs/>
                <w:iCs/>
                <w:sz w:val="24"/>
                <w:szCs w:val="24"/>
              </w:rPr>
              <w:t>□</w:t>
            </w:r>
            <w:r>
              <w:rPr>
                <w:rFonts w:ascii="宋体" w:hAnsi="宋体" w:hint="eastAsia"/>
                <w:sz w:val="24"/>
                <w:szCs w:val="24"/>
              </w:rPr>
              <w:t>新闻发布会</w:t>
            </w:r>
            <w:r w:rsidR="00253478">
              <w:rPr>
                <w:rFonts w:ascii="宋体" w:hAnsi="宋体"/>
                <w:sz w:val="24"/>
                <w:szCs w:val="24"/>
              </w:rPr>
              <w:t xml:space="preserve">       </w:t>
            </w:r>
            <w:r>
              <w:rPr>
                <w:rFonts w:ascii="宋体" w:hAnsi="宋体" w:hint="eastAsia"/>
                <w:bCs/>
                <w:iCs/>
                <w:sz w:val="24"/>
                <w:szCs w:val="24"/>
              </w:rPr>
              <w:t>□</w:t>
            </w:r>
            <w:r>
              <w:rPr>
                <w:rFonts w:ascii="宋体" w:hAnsi="宋体" w:hint="eastAsia"/>
                <w:sz w:val="24"/>
                <w:szCs w:val="24"/>
              </w:rPr>
              <w:t>路演活动</w:t>
            </w:r>
          </w:p>
          <w:p w:rsidR="00F76C52" w:rsidRDefault="00E162E5" w:rsidP="00253478">
            <w:pPr>
              <w:tabs>
                <w:tab w:val="left" w:pos="2210"/>
                <w:tab w:val="center" w:pos="3199"/>
              </w:tabs>
              <w:spacing w:line="480" w:lineRule="atLeast"/>
              <w:jc w:val="left"/>
              <w:rPr>
                <w:rFonts w:asci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bCs/>
                <w:iCs/>
                <w:sz w:val="24"/>
                <w:szCs w:val="24"/>
              </w:rPr>
              <w:tab/>
            </w:r>
            <w:r>
              <w:rPr>
                <w:rFonts w:ascii="宋体" w:hAnsi="宋体" w:hint="eastAsia"/>
                <w:bCs/>
                <w:iCs/>
                <w:sz w:val="24"/>
                <w:szCs w:val="24"/>
              </w:rPr>
              <w:t>□</w:t>
            </w:r>
            <w:r>
              <w:rPr>
                <w:rFonts w:ascii="宋体" w:hAnsi="宋体" w:hint="eastAsia"/>
                <w:sz w:val="24"/>
                <w:szCs w:val="24"/>
              </w:rPr>
              <w:t>其他</w:t>
            </w:r>
            <w:r>
              <w:rPr>
                <w:rFonts w:ascii="宋体" w:hAnsi="宋体"/>
                <w:sz w:val="24"/>
                <w:szCs w:val="24"/>
              </w:rPr>
              <w:t xml:space="preserve"> </w:t>
            </w:r>
            <w:r>
              <w:rPr>
                <w:rFonts w:ascii="宋体" w:hAnsi="宋体" w:hint="eastAsia"/>
                <w:sz w:val="24"/>
                <w:szCs w:val="24"/>
              </w:rPr>
              <w:t>（</w:t>
            </w:r>
            <w:r>
              <w:rPr>
                <w:rFonts w:ascii="宋体" w:hAnsi="宋体" w:hint="eastAsia"/>
                <w:sz w:val="24"/>
                <w:szCs w:val="24"/>
                <w:u w:val="single"/>
              </w:rPr>
              <w:t>请文字说明其他活动内容）</w:t>
            </w:r>
          </w:p>
        </w:tc>
      </w:tr>
      <w:tr w:rsidR="00F76C52">
        <w:trPr>
          <w:trHeight w:val="754"/>
        </w:trPr>
        <w:tc>
          <w:tcPr>
            <w:tcW w:w="1862" w:type="dxa"/>
            <w:vAlign w:val="center"/>
          </w:tcPr>
          <w:p w:rsidR="00F76C52" w:rsidRDefault="00E162E5">
            <w:pPr>
              <w:spacing w:line="480" w:lineRule="atLeast"/>
              <w:jc w:val="center"/>
              <w:rPr>
                <w:rFonts w:ascii="宋体"/>
                <w:b/>
                <w:bCs/>
                <w:iCs/>
                <w:sz w:val="24"/>
                <w:szCs w:val="24"/>
              </w:rPr>
            </w:pPr>
            <w:r>
              <w:rPr>
                <w:rFonts w:ascii="宋体" w:hAnsi="宋体" w:hint="eastAsia"/>
                <w:b/>
                <w:bCs/>
                <w:iCs/>
                <w:sz w:val="24"/>
                <w:szCs w:val="24"/>
              </w:rPr>
              <w:t>参与单位名称及人员姓名</w:t>
            </w:r>
          </w:p>
        </w:tc>
        <w:tc>
          <w:tcPr>
            <w:tcW w:w="6434" w:type="dxa"/>
            <w:vAlign w:val="center"/>
          </w:tcPr>
          <w:p w:rsidR="00A841B6" w:rsidRDefault="00E162E5">
            <w:pPr>
              <w:spacing w:line="480" w:lineRule="atLeast"/>
              <w:rPr>
                <w:rFonts w:ascii="宋体"/>
                <w:bCs/>
                <w:iCs/>
                <w:sz w:val="24"/>
                <w:szCs w:val="24"/>
              </w:rPr>
            </w:pPr>
            <w:r>
              <w:rPr>
                <w:rFonts w:ascii="宋体" w:hint="eastAsia"/>
                <w:bCs/>
                <w:iCs/>
                <w:sz w:val="24"/>
                <w:szCs w:val="24"/>
              </w:rPr>
              <w:t>华融</w:t>
            </w:r>
            <w:r>
              <w:rPr>
                <w:rFonts w:ascii="宋体"/>
                <w:bCs/>
                <w:iCs/>
                <w:sz w:val="24"/>
                <w:szCs w:val="24"/>
              </w:rPr>
              <w:t>津投</w:t>
            </w:r>
            <w:r>
              <w:rPr>
                <w:rFonts w:ascii="宋体" w:hint="eastAsia"/>
                <w:bCs/>
                <w:iCs/>
                <w:sz w:val="24"/>
                <w:szCs w:val="24"/>
              </w:rPr>
              <w:t>：3人</w:t>
            </w:r>
          </w:p>
          <w:p w:rsidR="00F76C52" w:rsidRDefault="00E162E5">
            <w:pPr>
              <w:spacing w:line="480" w:lineRule="atLeast"/>
              <w:rPr>
                <w:rFonts w:ascii="宋体"/>
                <w:bCs/>
                <w:iCs/>
                <w:sz w:val="24"/>
                <w:szCs w:val="24"/>
              </w:rPr>
            </w:pPr>
            <w:r>
              <w:rPr>
                <w:rFonts w:ascii="宋体" w:hint="eastAsia"/>
                <w:bCs/>
                <w:iCs/>
                <w:sz w:val="24"/>
                <w:szCs w:val="24"/>
              </w:rPr>
              <w:t>华融置业</w:t>
            </w:r>
            <w:r>
              <w:rPr>
                <w:rFonts w:ascii="宋体"/>
                <w:bCs/>
                <w:iCs/>
                <w:sz w:val="24"/>
                <w:szCs w:val="24"/>
              </w:rPr>
              <w:t>：</w:t>
            </w:r>
            <w:r>
              <w:rPr>
                <w:rFonts w:ascii="宋体" w:hint="eastAsia"/>
                <w:bCs/>
                <w:iCs/>
                <w:sz w:val="24"/>
                <w:szCs w:val="24"/>
              </w:rPr>
              <w:t>1人</w:t>
            </w:r>
          </w:p>
          <w:p w:rsidR="00F76C52" w:rsidRDefault="00E162E5">
            <w:pPr>
              <w:spacing w:line="480" w:lineRule="atLeast"/>
            </w:pPr>
            <w:r>
              <w:rPr>
                <w:rFonts w:ascii="宋体" w:hint="eastAsia"/>
                <w:bCs/>
                <w:iCs/>
                <w:sz w:val="24"/>
                <w:szCs w:val="24"/>
              </w:rPr>
              <w:t>个人股东：胡黎明</w:t>
            </w:r>
          </w:p>
        </w:tc>
      </w:tr>
      <w:tr w:rsidR="00F76C52">
        <w:tc>
          <w:tcPr>
            <w:tcW w:w="1862" w:type="dxa"/>
            <w:vAlign w:val="center"/>
          </w:tcPr>
          <w:p w:rsidR="00F76C52" w:rsidRDefault="00E162E5">
            <w:pPr>
              <w:spacing w:line="480" w:lineRule="atLeast"/>
              <w:jc w:val="center"/>
              <w:rPr>
                <w:rFonts w:ascii="宋体"/>
                <w:b/>
                <w:bCs/>
                <w:iCs/>
                <w:sz w:val="24"/>
                <w:szCs w:val="24"/>
              </w:rPr>
            </w:pPr>
            <w:r>
              <w:rPr>
                <w:rFonts w:ascii="宋体" w:hAnsi="宋体" w:hint="eastAsia"/>
                <w:b/>
                <w:bCs/>
                <w:iCs/>
                <w:sz w:val="24"/>
                <w:szCs w:val="24"/>
              </w:rPr>
              <w:t>时间</w:t>
            </w:r>
          </w:p>
        </w:tc>
        <w:tc>
          <w:tcPr>
            <w:tcW w:w="6434" w:type="dxa"/>
            <w:vAlign w:val="center"/>
          </w:tcPr>
          <w:p w:rsidR="00F76C52" w:rsidRDefault="00E162E5">
            <w:pPr>
              <w:spacing w:line="480" w:lineRule="atLeast"/>
              <w:jc w:val="left"/>
              <w:rPr>
                <w:rFonts w:ascii="宋体"/>
                <w:bCs/>
                <w:iCs/>
                <w:sz w:val="24"/>
                <w:szCs w:val="24"/>
              </w:rPr>
            </w:pPr>
            <w:r>
              <w:rPr>
                <w:rFonts w:ascii="宋体" w:hAnsi="宋体"/>
                <w:bCs/>
                <w:iCs/>
                <w:sz w:val="24"/>
                <w:szCs w:val="24"/>
              </w:rPr>
              <w:t>2019</w:t>
            </w:r>
            <w:r>
              <w:rPr>
                <w:rFonts w:ascii="宋体" w:hAnsi="宋体" w:hint="eastAsia"/>
                <w:bCs/>
                <w:iCs/>
                <w:sz w:val="24"/>
                <w:szCs w:val="24"/>
              </w:rPr>
              <w:t>年</w:t>
            </w:r>
            <w:r>
              <w:rPr>
                <w:rFonts w:ascii="宋体" w:hAnsi="宋体"/>
                <w:bCs/>
                <w:iCs/>
                <w:sz w:val="24"/>
                <w:szCs w:val="24"/>
              </w:rPr>
              <w:t>7</w:t>
            </w:r>
            <w:r>
              <w:rPr>
                <w:rFonts w:ascii="宋体" w:hAnsi="宋体" w:hint="eastAsia"/>
                <w:bCs/>
                <w:iCs/>
                <w:sz w:val="24"/>
                <w:szCs w:val="24"/>
              </w:rPr>
              <w:t>月</w:t>
            </w:r>
            <w:r>
              <w:rPr>
                <w:rFonts w:ascii="宋体" w:hAnsi="宋体"/>
                <w:bCs/>
                <w:iCs/>
                <w:sz w:val="24"/>
                <w:szCs w:val="24"/>
              </w:rPr>
              <w:t>26</w:t>
            </w:r>
            <w:r>
              <w:rPr>
                <w:rFonts w:ascii="宋体" w:hAnsi="宋体" w:hint="eastAsia"/>
                <w:bCs/>
                <w:iCs/>
                <w:sz w:val="24"/>
                <w:szCs w:val="24"/>
              </w:rPr>
              <w:t>日1</w:t>
            </w:r>
            <w:r>
              <w:rPr>
                <w:rFonts w:ascii="宋体" w:hAnsi="宋体"/>
                <w:bCs/>
                <w:iCs/>
                <w:sz w:val="24"/>
                <w:szCs w:val="24"/>
              </w:rPr>
              <w:t>0</w:t>
            </w:r>
            <w:r>
              <w:rPr>
                <w:rFonts w:ascii="宋体" w:hAnsi="宋体" w:hint="eastAsia"/>
                <w:bCs/>
                <w:iCs/>
                <w:sz w:val="24"/>
                <w:szCs w:val="24"/>
              </w:rPr>
              <w:t>:00</w:t>
            </w:r>
          </w:p>
        </w:tc>
      </w:tr>
      <w:tr w:rsidR="00F76C52">
        <w:trPr>
          <w:trHeight w:val="581"/>
        </w:trPr>
        <w:tc>
          <w:tcPr>
            <w:tcW w:w="1862" w:type="dxa"/>
            <w:vAlign w:val="center"/>
          </w:tcPr>
          <w:p w:rsidR="00F76C52" w:rsidRDefault="00E162E5">
            <w:pPr>
              <w:spacing w:line="480" w:lineRule="atLeast"/>
              <w:jc w:val="center"/>
              <w:rPr>
                <w:rFonts w:ascii="宋体"/>
                <w:b/>
                <w:bCs/>
                <w:iCs/>
                <w:sz w:val="24"/>
                <w:szCs w:val="24"/>
              </w:rPr>
            </w:pPr>
            <w:r>
              <w:rPr>
                <w:rFonts w:ascii="宋体" w:hAnsi="宋体" w:hint="eastAsia"/>
                <w:b/>
                <w:bCs/>
                <w:iCs/>
                <w:sz w:val="24"/>
                <w:szCs w:val="24"/>
              </w:rPr>
              <w:t>地点</w:t>
            </w:r>
          </w:p>
        </w:tc>
        <w:tc>
          <w:tcPr>
            <w:tcW w:w="6434" w:type="dxa"/>
            <w:vAlign w:val="center"/>
          </w:tcPr>
          <w:p w:rsidR="00F76C52" w:rsidRDefault="00E162E5">
            <w:pPr>
              <w:spacing w:line="480" w:lineRule="atLeast"/>
              <w:rPr>
                <w:rFonts w:ascii="宋体"/>
                <w:bCs/>
                <w:iCs/>
                <w:sz w:val="24"/>
                <w:szCs w:val="24"/>
              </w:rPr>
            </w:pPr>
            <w:r>
              <w:rPr>
                <w:rFonts w:ascii="宋体" w:hAnsi="宋体" w:hint="eastAsia"/>
                <w:bCs/>
                <w:iCs/>
                <w:sz w:val="24"/>
                <w:szCs w:val="24"/>
              </w:rPr>
              <w:t>上海市普陀区西康路1255号普陀科技大厦1</w:t>
            </w:r>
            <w:r>
              <w:rPr>
                <w:rFonts w:ascii="宋体" w:hAnsi="宋体"/>
                <w:bCs/>
                <w:iCs/>
                <w:sz w:val="24"/>
                <w:szCs w:val="24"/>
              </w:rPr>
              <w:t>7</w:t>
            </w:r>
            <w:r>
              <w:rPr>
                <w:rFonts w:ascii="宋体" w:hAnsi="宋体" w:hint="eastAsia"/>
                <w:bCs/>
                <w:iCs/>
                <w:sz w:val="24"/>
                <w:szCs w:val="24"/>
              </w:rPr>
              <w:t>楼会议室</w:t>
            </w:r>
          </w:p>
        </w:tc>
      </w:tr>
      <w:tr w:rsidR="00F76C52">
        <w:trPr>
          <w:trHeight w:val="1045"/>
        </w:trPr>
        <w:tc>
          <w:tcPr>
            <w:tcW w:w="1862" w:type="dxa"/>
            <w:vAlign w:val="center"/>
          </w:tcPr>
          <w:p w:rsidR="00F76C52" w:rsidRDefault="00E162E5">
            <w:pPr>
              <w:spacing w:line="480" w:lineRule="atLeast"/>
              <w:jc w:val="center"/>
              <w:rPr>
                <w:rFonts w:ascii="宋体" w:hAnsi="宋体"/>
                <w:b/>
                <w:bCs/>
                <w:iCs/>
                <w:sz w:val="24"/>
                <w:szCs w:val="24"/>
              </w:rPr>
            </w:pPr>
            <w:r>
              <w:rPr>
                <w:rFonts w:ascii="宋体" w:hAnsi="宋体" w:hint="eastAsia"/>
                <w:b/>
                <w:bCs/>
                <w:iCs/>
                <w:sz w:val="24"/>
                <w:szCs w:val="24"/>
              </w:rPr>
              <w:t>上市公司</w:t>
            </w:r>
          </w:p>
          <w:p w:rsidR="00F76C52" w:rsidRDefault="00E162E5">
            <w:pPr>
              <w:spacing w:line="480" w:lineRule="atLeast"/>
              <w:jc w:val="center"/>
              <w:rPr>
                <w:rFonts w:ascii="宋体"/>
                <w:b/>
                <w:bCs/>
                <w:iCs/>
                <w:sz w:val="24"/>
                <w:szCs w:val="24"/>
              </w:rPr>
            </w:pPr>
            <w:r>
              <w:rPr>
                <w:rFonts w:ascii="宋体" w:hAnsi="宋体" w:hint="eastAsia"/>
                <w:b/>
                <w:bCs/>
                <w:iCs/>
                <w:sz w:val="24"/>
                <w:szCs w:val="24"/>
              </w:rPr>
              <w:t>接待人员姓名</w:t>
            </w:r>
          </w:p>
        </w:tc>
        <w:tc>
          <w:tcPr>
            <w:tcW w:w="6434" w:type="dxa"/>
            <w:vAlign w:val="center"/>
          </w:tcPr>
          <w:p w:rsidR="00C731D3" w:rsidRDefault="00E162E5">
            <w:pPr>
              <w:spacing w:line="480" w:lineRule="atLeast"/>
              <w:rPr>
                <w:rFonts w:ascii="宋体"/>
                <w:bCs/>
                <w:iCs/>
                <w:sz w:val="24"/>
                <w:szCs w:val="24"/>
              </w:rPr>
            </w:pPr>
            <w:r>
              <w:rPr>
                <w:rFonts w:ascii="宋体" w:hint="eastAsia"/>
                <w:bCs/>
                <w:iCs/>
                <w:sz w:val="24"/>
                <w:szCs w:val="24"/>
              </w:rPr>
              <w:t>董事长</w:t>
            </w:r>
            <w:r>
              <w:rPr>
                <w:rFonts w:ascii="宋体"/>
                <w:bCs/>
                <w:iCs/>
                <w:sz w:val="24"/>
                <w:szCs w:val="24"/>
              </w:rPr>
              <w:t>、总裁潘晖</w:t>
            </w:r>
            <w:r>
              <w:rPr>
                <w:rFonts w:ascii="宋体" w:hint="eastAsia"/>
                <w:bCs/>
                <w:iCs/>
                <w:sz w:val="24"/>
                <w:szCs w:val="24"/>
              </w:rPr>
              <w:t>先生；副董事长</w:t>
            </w:r>
            <w:r>
              <w:rPr>
                <w:rFonts w:ascii="宋体"/>
                <w:bCs/>
                <w:iCs/>
                <w:sz w:val="24"/>
                <w:szCs w:val="24"/>
              </w:rPr>
              <w:t>、联席总裁宛晨</w:t>
            </w:r>
            <w:r>
              <w:rPr>
                <w:rFonts w:ascii="宋体" w:hint="eastAsia"/>
                <w:bCs/>
                <w:iCs/>
                <w:sz w:val="24"/>
                <w:szCs w:val="24"/>
              </w:rPr>
              <w:t>先生；董事</w:t>
            </w:r>
            <w:r>
              <w:rPr>
                <w:rFonts w:ascii="宋体"/>
                <w:bCs/>
                <w:iCs/>
                <w:sz w:val="24"/>
                <w:szCs w:val="24"/>
              </w:rPr>
              <w:t>、联席总裁于兵</w:t>
            </w:r>
            <w:r>
              <w:rPr>
                <w:rFonts w:ascii="宋体" w:hint="eastAsia"/>
                <w:bCs/>
                <w:iCs/>
                <w:sz w:val="24"/>
                <w:szCs w:val="24"/>
              </w:rPr>
              <w:t>先生；</w:t>
            </w:r>
            <w:r>
              <w:rPr>
                <w:rFonts w:ascii="宋体"/>
                <w:bCs/>
                <w:iCs/>
                <w:sz w:val="24"/>
                <w:szCs w:val="24"/>
              </w:rPr>
              <w:t>董事龚保国</w:t>
            </w:r>
            <w:r>
              <w:rPr>
                <w:rFonts w:ascii="宋体" w:hint="eastAsia"/>
                <w:bCs/>
                <w:iCs/>
                <w:sz w:val="24"/>
                <w:szCs w:val="24"/>
              </w:rPr>
              <w:t>先生；</w:t>
            </w:r>
          </w:p>
          <w:p w:rsidR="00C731D3" w:rsidRDefault="00E162E5">
            <w:pPr>
              <w:spacing w:line="480" w:lineRule="atLeast"/>
              <w:rPr>
                <w:rFonts w:ascii="宋体"/>
                <w:bCs/>
                <w:iCs/>
                <w:sz w:val="24"/>
                <w:szCs w:val="24"/>
              </w:rPr>
            </w:pPr>
            <w:r>
              <w:rPr>
                <w:rFonts w:ascii="宋体" w:hint="eastAsia"/>
                <w:bCs/>
                <w:iCs/>
                <w:sz w:val="24"/>
                <w:szCs w:val="24"/>
              </w:rPr>
              <w:t>执行总裁王东伟先生；执行总裁王翔宇先生</w:t>
            </w:r>
            <w:r>
              <w:rPr>
                <w:rFonts w:ascii="宋体"/>
                <w:bCs/>
                <w:iCs/>
                <w:sz w:val="24"/>
                <w:szCs w:val="24"/>
              </w:rPr>
              <w:t>；</w:t>
            </w:r>
          </w:p>
          <w:p w:rsidR="00F76C52" w:rsidRDefault="00E162E5">
            <w:pPr>
              <w:spacing w:line="480" w:lineRule="atLeast"/>
              <w:rPr>
                <w:rFonts w:ascii="宋体"/>
                <w:bCs/>
                <w:iCs/>
                <w:sz w:val="24"/>
                <w:szCs w:val="24"/>
              </w:rPr>
            </w:pPr>
            <w:r>
              <w:rPr>
                <w:rFonts w:ascii="宋体" w:hint="eastAsia"/>
                <w:bCs/>
                <w:iCs/>
                <w:sz w:val="24"/>
                <w:szCs w:val="24"/>
              </w:rPr>
              <w:t>董事会秘书</w:t>
            </w:r>
            <w:r>
              <w:rPr>
                <w:rFonts w:ascii="宋体"/>
                <w:bCs/>
                <w:iCs/>
                <w:sz w:val="24"/>
                <w:szCs w:val="24"/>
              </w:rPr>
              <w:t>唐文妍</w:t>
            </w:r>
            <w:r>
              <w:rPr>
                <w:rFonts w:ascii="宋体" w:hint="eastAsia"/>
                <w:bCs/>
                <w:iCs/>
                <w:sz w:val="24"/>
                <w:szCs w:val="24"/>
              </w:rPr>
              <w:t>女士。</w:t>
            </w:r>
          </w:p>
        </w:tc>
      </w:tr>
      <w:tr w:rsidR="00F76C52">
        <w:trPr>
          <w:trHeight w:val="416"/>
        </w:trPr>
        <w:tc>
          <w:tcPr>
            <w:tcW w:w="1862" w:type="dxa"/>
            <w:vAlign w:val="center"/>
          </w:tcPr>
          <w:p w:rsidR="009D2DB5" w:rsidRDefault="00E162E5">
            <w:pPr>
              <w:spacing w:line="480" w:lineRule="atLeast"/>
              <w:jc w:val="center"/>
              <w:rPr>
                <w:rFonts w:ascii="宋体" w:hAnsi="宋体"/>
                <w:b/>
                <w:bCs/>
                <w:iCs/>
                <w:sz w:val="24"/>
                <w:szCs w:val="24"/>
              </w:rPr>
            </w:pPr>
            <w:r>
              <w:rPr>
                <w:rFonts w:ascii="宋体" w:hAnsi="宋体" w:hint="eastAsia"/>
                <w:b/>
                <w:bCs/>
                <w:iCs/>
                <w:sz w:val="24"/>
                <w:szCs w:val="24"/>
              </w:rPr>
              <w:t>投资者关系活动主要内容</w:t>
            </w:r>
          </w:p>
          <w:p w:rsidR="00F76C52" w:rsidRDefault="00E162E5">
            <w:pPr>
              <w:spacing w:line="480" w:lineRule="atLeast"/>
              <w:jc w:val="center"/>
              <w:rPr>
                <w:rFonts w:ascii="宋体"/>
                <w:b/>
                <w:bCs/>
                <w:iCs/>
                <w:sz w:val="24"/>
                <w:szCs w:val="24"/>
              </w:rPr>
            </w:pPr>
            <w:r>
              <w:rPr>
                <w:rFonts w:ascii="宋体" w:hAnsi="宋体" w:hint="eastAsia"/>
                <w:b/>
                <w:bCs/>
                <w:iCs/>
                <w:sz w:val="24"/>
                <w:szCs w:val="24"/>
              </w:rPr>
              <w:t>介绍</w:t>
            </w:r>
          </w:p>
          <w:p w:rsidR="00F76C52" w:rsidRDefault="00F76C52">
            <w:pPr>
              <w:spacing w:line="480" w:lineRule="atLeast"/>
              <w:jc w:val="center"/>
              <w:rPr>
                <w:rFonts w:ascii="宋体"/>
                <w:b/>
                <w:bCs/>
                <w:iCs/>
                <w:sz w:val="24"/>
                <w:szCs w:val="24"/>
              </w:rPr>
            </w:pPr>
          </w:p>
        </w:tc>
        <w:tc>
          <w:tcPr>
            <w:tcW w:w="6434" w:type="dxa"/>
            <w:vAlign w:val="center"/>
          </w:tcPr>
          <w:p w:rsidR="00F76C52" w:rsidRDefault="00E162E5">
            <w:pPr>
              <w:spacing w:line="360" w:lineRule="auto"/>
              <w:rPr>
                <w:rFonts w:ascii="宋体"/>
                <w:b/>
                <w:sz w:val="24"/>
                <w:szCs w:val="24"/>
              </w:rPr>
            </w:pPr>
            <w:r>
              <w:rPr>
                <w:rFonts w:ascii="宋体" w:hint="eastAsia"/>
                <w:b/>
                <w:sz w:val="24"/>
                <w:szCs w:val="24"/>
              </w:rPr>
              <w:t>一、公司高管简要介绍了公司基本情况</w:t>
            </w:r>
          </w:p>
          <w:p w:rsidR="00F76C52" w:rsidRDefault="00E162E5">
            <w:pPr>
              <w:spacing w:line="360" w:lineRule="auto"/>
              <w:rPr>
                <w:rFonts w:ascii="宋体"/>
                <w:b/>
                <w:sz w:val="24"/>
                <w:szCs w:val="24"/>
              </w:rPr>
            </w:pPr>
            <w:r>
              <w:rPr>
                <w:rFonts w:ascii="宋体" w:hAnsi="宋体" w:hint="eastAsia"/>
                <w:b/>
                <w:sz w:val="24"/>
                <w:szCs w:val="24"/>
              </w:rPr>
              <w:t>二、</w:t>
            </w:r>
            <w:r>
              <w:rPr>
                <w:rFonts w:ascii="宋体" w:hint="eastAsia"/>
                <w:b/>
                <w:sz w:val="24"/>
                <w:szCs w:val="24"/>
              </w:rPr>
              <w:t>互动交流：</w:t>
            </w:r>
          </w:p>
          <w:p w:rsidR="00F76C52" w:rsidRDefault="00E162E5">
            <w:pPr>
              <w:spacing w:line="360" w:lineRule="auto"/>
              <w:rPr>
                <w:rFonts w:ascii="宋体" w:hAnsi="Calibri"/>
                <w:b/>
                <w:sz w:val="24"/>
                <w:szCs w:val="24"/>
              </w:rPr>
            </w:pPr>
            <w:r>
              <w:rPr>
                <w:rFonts w:ascii="宋体" w:hAnsi="Calibri" w:hint="eastAsia"/>
                <w:b/>
                <w:sz w:val="24"/>
                <w:szCs w:val="24"/>
              </w:rPr>
              <w:t>1、问：</w:t>
            </w:r>
            <w:r>
              <w:rPr>
                <w:rFonts w:ascii="宋体" w:hAnsi="Calibri"/>
                <w:b/>
                <w:sz w:val="24"/>
                <w:szCs w:val="24"/>
              </w:rPr>
              <w:t>公司</w:t>
            </w:r>
            <w:r>
              <w:rPr>
                <w:rFonts w:ascii="宋体" w:hAnsi="Calibri" w:hint="eastAsia"/>
                <w:b/>
                <w:sz w:val="24"/>
                <w:szCs w:val="24"/>
              </w:rPr>
              <w:t>披露的《2019年半年度业绩预告》中</w:t>
            </w:r>
            <w:r>
              <w:rPr>
                <w:rFonts w:ascii="宋体" w:hAnsi="Calibri"/>
                <w:b/>
                <w:sz w:val="24"/>
                <w:szCs w:val="24"/>
              </w:rPr>
              <w:t>显示，</w:t>
            </w:r>
            <w:r>
              <w:rPr>
                <w:rFonts w:ascii="宋体" w:hAnsi="Calibri" w:hint="eastAsia"/>
                <w:b/>
                <w:sz w:val="24"/>
                <w:szCs w:val="24"/>
              </w:rPr>
              <w:t>2019年1</w:t>
            </w:r>
            <w:r>
              <w:rPr>
                <w:rFonts w:ascii="宋体" w:hAnsi="Calibri"/>
                <w:b/>
                <w:sz w:val="24"/>
                <w:szCs w:val="24"/>
              </w:rPr>
              <w:t>-6</w:t>
            </w:r>
            <w:r>
              <w:rPr>
                <w:rFonts w:ascii="宋体" w:hAnsi="Calibri" w:hint="eastAsia"/>
                <w:b/>
                <w:sz w:val="24"/>
                <w:szCs w:val="24"/>
              </w:rPr>
              <w:t>月归属于上市公司股东的净利润预计亏损2,000-3</w:t>
            </w:r>
            <w:r>
              <w:rPr>
                <w:rFonts w:ascii="宋体" w:hAnsi="Calibri"/>
                <w:b/>
                <w:sz w:val="24"/>
                <w:szCs w:val="24"/>
              </w:rPr>
              <w:t>,</w:t>
            </w:r>
            <w:r>
              <w:rPr>
                <w:rFonts w:ascii="宋体" w:hAnsi="Calibri" w:hint="eastAsia"/>
                <w:b/>
                <w:sz w:val="24"/>
                <w:szCs w:val="24"/>
              </w:rPr>
              <w:t>000万，请问</w:t>
            </w:r>
            <w:r>
              <w:rPr>
                <w:rFonts w:ascii="宋体" w:hAnsi="Calibri"/>
                <w:b/>
                <w:sz w:val="24"/>
                <w:szCs w:val="24"/>
              </w:rPr>
              <w:t>亏损</w:t>
            </w:r>
            <w:r>
              <w:rPr>
                <w:rFonts w:ascii="宋体" w:hAnsi="Calibri" w:hint="eastAsia"/>
                <w:b/>
                <w:sz w:val="24"/>
                <w:szCs w:val="24"/>
              </w:rPr>
              <w:t>的</w:t>
            </w:r>
            <w:r>
              <w:rPr>
                <w:rFonts w:ascii="宋体" w:hAnsi="Calibri"/>
                <w:b/>
                <w:sz w:val="24"/>
                <w:szCs w:val="24"/>
              </w:rPr>
              <w:t>原因</w:t>
            </w:r>
            <w:r>
              <w:rPr>
                <w:rFonts w:ascii="宋体" w:hAnsi="Calibri" w:hint="eastAsia"/>
                <w:b/>
                <w:sz w:val="24"/>
                <w:szCs w:val="24"/>
              </w:rPr>
              <w:t>？能否对2019年全年盈利情况进行简单介绍和预测？</w:t>
            </w:r>
          </w:p>
          <w:p w:rsidR="00F76C52" w:rsidRDefault="00E162E5">
            <w:pPr>
              <w:spacing w:line="360" w:lineRule="auto"/>
              <w:rPr>
                <w:rFonts w:ascii="宋体" w:hAnsi="宋体"/>
                <w:sz w:val="24"/>
                <w:szCs w:val="21"/>
              </w:rPr>
            </w:pPr>
            <w:r>
              <w:rPr>
                <w:rFonts w:ascii="宋体" w:hAnsi="宋体" w:hint="eastAsia"/>
                <w:sz w:val="24"/>
                <w:szCs w:val="21"/>
              </w:rPr>
              <w:t>答</w:t>
            </w:r>
            <w:r>
              <w:rPr>
                <w:rFonts w:ascii="宋体" w:hAnsi="宋体"/>
                <w:sz w:val="24"/>
                <w:szCs w:val="21"/>
              </w:rPr>
              <w:t>：</w:t>
            </w:r>
            <w:r>
              <w:rPr>
                <w:rFonts w:ascii="宋体" w:hAnsi="宋体" w:hint="eastAsia"/>
                <w:sz w:val="24"/>
                <w:szCs w:val="21"/>
              </w:rPr>
              <w:t>2019年1-6月公司归属于上市公司股东的净利润累计为负数，主要是受第一季度亏损影响。公司第二季度项目施工、结算等工作均有效推进，当季已实现盈利，预计4-6月份可实现归属于上市公司股东的净利润为462万元至1,462万元。</w:t>
            </w:r>
          </w:p>
          <w:p w:rsidR="00F76C52" w:rsidRDefault="00E162E5">
            <w:pPr>
              <w:spacing w:line="360" w:lineRule="auto"/>
              <w:rPr>
                <w:rFonts w:ascii="宋体" w:hAnsi="宋体"/>
                <w:sz w:val="24"/>
                <w:szCs w:val="21"/>
              </w:rPr>
            </w:pPr>
            <w:r>
              <w:rPr>
                <w:rFonts w:ascii="宋体" w:hAnsi="宋体" w:hint="eastAsia"/>
                <w:sz w:val="24"/>
                <w:szCs w:val="21"/>
              </w:rPr>
              <w:lastRenderedPageBreak/>
              <w:t>关于2019年全年业绩, 由于公司业绩受到行业景气度、市场状况、外部环境等多种因素影响，因此暂时无法预测全年数据。根据公司及行业往年周期性趋势，收入和利润</w:t>
            </w:r>
            <w:r w:rsidR="00EC2E60">
              <w:rPr>
                <w:rFonts w:ascii="宋体" w:hAnsi="宋体" w:hint="eastAsia"/>
                <w:sz w:val="24"/>
                <w:szCs w:val="21"/>
              </w:rPr>
              <w:t>一般</w:t>
            </w:r>
            <w:r>
              <w:rPr>
                <w:rFonts w:ascii="宋体" w:hAnsi="宋体" w:hint="eastAsia"/>
                <w:sz w:val="24"/>
                <w:szCs w:val="21"/>
              </w:rPr>
              <w:t>更多体现在下半年。公司将加强成本控制和业务优化，推进优质项目落地，同时，今年内将拓展医疗信息化板块的业绩提升作为经营重点，希望2019年度能够扭亏为盈。公司经营情况会在各定期报告中详细披露，请届时关注。</w:t>
            </w:r>
          </w:p>
          <w:p w:rsidR="00F76C52" w:rsidRDefault="00F76C52">
            <w:pPr>
              <w:spacing w:line="360" w:lineRule="auto"/>
              <w:rPr>
                <w:rFonts w:ascii="宋体" w:hAnsi="Calibri"/>
                <w:b/>
                <w:sz w:val="24"/>
                <w:szCs w:val="24"/>
              </w:rPr>
            </w:pPr>
          </w:p>
          <w:p w:rsidR="00246C97" w:rsidRDefault="00E162E5">
            <w:pPr>
              <w:autoSpaceDE w:val="0"/>
              <w:autoSpaceDN w:val="0"/>
              <w:adjustRightInd w:val="0"/>
              <w:spacing w:line="360" w:lineRule="auto"/>
              <w:rPr>
                <w:rFonts w:ascii="宋体" w:hAnsi="Calibri"/>
                <w:b/>
                <w:sz w:val="24"/>
                <w:szCs w:val="24"/>
              </w:rPr>
            </w:pPr>
            <w:r>
              <w:rPr>
                <w:rFonts w:ascii="宋体" w:hAnsi="Calibri" w:hint="eastAsia"/>
                <w:b/>
                <w:sz w:val="24"/>
                <w:szCs w:val="24"/>
              </w:rPr>
              <w:t>2、问：</w:t>
            </w:r>
            <w:r w:rsidR="00246C97" w:rsidRPr="00246C97">
              <w:rPr>
                <w:rFonts w:ascii="宋体" w:hAnsi="Calibri" w:hint="eastAsia"/>
                <w:b/>
                <w:sz w:val="24"/>
                <w:szCs w:val="24"/>
              </w:rPr>
              <w:t>公司的医疗信息化板块主要有哪些业务？2019年的经营情况如何？</w:t>
            </w:r>
          </w:p>
          <w:p w:rsidR="00F76C52" w:rsidRDefault="00E162E5">
            <w:pPr>
              <w:autoSpaceDE w:val="0"/>
              <w:autoSpaceDN w:val="0"/>
              <w:adjustRightInd w:val="0"/>
              <w:spacing w:line="360" w:lineRule="auto"/>
              <w:rPr>
                <w:rFonts w:ascii="宋体" w:hAnsi="Calibri"/>
                <w:sz w:val="24"/>
                <w:szCs w:val="24"/>
              </w:rPr>
            </w:pPr>
            <w:r>
              <w:rPr>
                <w:rFonts w:ascii="宋体" w:hAnsi="Calibri" w:hint="eastAsia"/>
                <w:b/>
                <w:sz w:val="24"/>
                <w:szCs w:val="24"/>
              </w:rPr>
              <w:t>答</w:t>
            </w:r>
            <w:r>
              <w:rPr>
                <w:rFonts w:ascii="宋体" w:hAnsi="Calibri"/>
                <w:b/>
                <w:sz w:val="24"/>
                <w:szCs w:val="24"/>
              </w:rPr>
              <w:t>：</w:t>
            </w:r>
            <w:r>
              <w:rPr>
                <w:rFonts w:ascii="宋体" w:hAnsi="Calibri" w:hint="eastAsia"/>
                <w:sz w:val="24"/>
                <w:szCs w:val="24"/>
              </w:rPr>
              <w:t>公司医疗信息化板块主要由控股子公司成都成电医星数字健康软件有限公司和成都延华西部健康医疗信息产业研究院有限公司主导，主要业务可以概括为一个基础、三个平台、五项应用。一个基础是指已有的医院信息化系统；三个平台包括智慧医院信息平台、智慧区域平台、智慧康养平台，是基于医疗健康大数据的一体化集成解决方案；五项应用即运用云计算、大数据、物联网、人工智能、机器人等五大新一代信息技术，深入挖掘三大平台中医疗健康大数据，形成智慧医疗和健康管理的现代服务体系。</w:t>
            </w:r>
          </w:p>
          <w:p w:rsidR="00F76C52" w:rsidRDefault="00E162E5">
            <w:pPr>
              <w:autoSpaceDE w:val="0"/>
              <w:autoSpaceDN w:val="0"/>
              <w:adjustRightInd w:val="0"/>
              <w:spacing w:line="360" w:lineRule="auto"/>
              <w:rPr>
                <w:rFonts w:ascii="宋体" w:hAnsi="宋体" w:cs="宋体"/>
                <w:kern w:val="0"/>
                <w:sz w:val="24"/>
                <w:szCs w:val="24"/>
                <w:lang w:val="zh-CN"/>
              </w:rPr>
            </w:pPr>
            <w:r>
              <w:rPr>
                <w:rFonts w:ascii="宋体" w:hAnsi="Calibri" w:hint="eastAsia"/>
                <w:sz w:val="24"/>
                <w:szCs w:val="24"/>
              </w:rPr>
              <w:t>2019年上半年，成电医星合同量饱满，签订合同8,000余万元，实现收入4,000余万元，较去年同期分别增长85%和19%；其医院信息管理系统和定制应用系统占总收入约70%，运维服务外包业务占总收入约30%。研究院围绕新一代产品研究开发的中心任务，抓住当前良好的政策形势，及时推出国内领先的医院信息化集成平台和医共体一体化解决方案，预计将产生良好的市场效果。</w:t>
            </w:r>
          </w:p>
          <w:p w:rsidR="00F76C52" w:rsidRDefault="00F76C52">
            <w:pPr>
              <w:spacing w:line="360" w:lineRule="auto"/>
              <w:rPr>
                <w:rFonts w:ascii="宋体" w:hAnsi="Calibri"/>
                <w:b/>
                <w:sz w:val="24"/>
                <w:szCs w:val="24"/>
              </w:rPr>
            </w:pPr>
          </w:p>
          <w:p w:rsidR="00F76C52" w:rsidRDefault="00E162E5">
            <w:pPr>
              <w:spacing w:line="360" w:lineRule="auto"/>
              <w:rPr>
                <w:rFonts w:ascii="宋体" w:hAnsi="Calibri"/>
                <w:b/>
                <w:color w:val="FF0000"/>
                <w:sz w:val="24"/>
                <w:szCs w:val="24"/>
              </w:rPr>
            </w:pPr>
            <w:r>
              <w:rPr>
                <w:rFonts w:ascii="宋体" w:hAnsi="Calibri" w:hint="eastAsia"/>
                <w:b/>
                <w:sz w:val="24"/>
                <w:szCs w:val="24"/>
              </w:rPr>
              <w:t>3、问：华融津投自拍卖取得延华智能股东地位后一直非常关注延华智能的经营情况、</w:t>
            </w:r>
            <w:r w:rsidRPr="005D2D6D">
              <w:rPr>
                <w:rFonts w:ascii="宋体" w:hAnsi="Calibri" w:hint="eastAsia"/>
                <w:b/>
                <w:sz w:val="24"/>
                <w:szCs w:val="24"/>
              </w:rPr>
              <w:t>支持延华智能主营业务发展</w:t>
            </w:r>
            <w:r>
              <w:rPr>
                <w:rFonts w:ascii="宋体" w:hAnsi="Calibri" w:hint="eastAsia"/>
                <w:b/>
                <w:sz w:val="24"/>
                <w:szCs w:val="24"/>
              </w:rPr>
              <w:t>，并积极履行股东职责，维护中小股东权</w:t>
            </w:r>
            <w:r w:rsidRPr="00A86234">
              <w:rPr>
                <w:rFonts w:ascii="宋体" w:hAnsi="Calibri" w:hint="eastAsia"/>
                <w:b/>
                <w:sz w:val="24"/>
                <w:szCs w:val="24"/>
              </w:rPr>
              <w:t>益，此次协同兄弟公司华融置业对上市公司进行调研，希望在华融体系内整合与延华智能主业匹配的相关资源，进一步提高上市公司竞争力。延华智能与华融置业是否具有深入合作的可能？</w:t>
            </w:r>
          </w:p>
          <w:p w:rsidR="00F76C52" w:rsidRDefault="00E162E5">
            <w:pPr>
              <w:spacing w:line="360" w:lineRule="auto"/>
              <w:rPr>
                <w:rFonts w:ascii="宋体" w:hAnsi="Calibri"/>
                <w:sz w:val="24"/>
                <w:szCs w:val="24"/>
              </w:rPr>
            </w:pPr>
            <w:r>
              <w:rPr>
                <w:rFonts w:ascii="宋体" w:hAnsi="Calibri" w:hint="eastAsia"/>
                <w:b/>
                <w:sz w:val="24"/>
                <w:szCs w:val="24"/>
              </w:rPr>
              <w:t>答：</w:t>
            </w:r>
            <w:r w:rsidRPr="008B5D35">
              <w:rPr>
                <w:rFonts w:ascii="宋体" w:hAnsi="Calibri" w:hint="eastAsia"/>
                <w:sz w:val="24"/>
                <w:szCs w:val="24"/>
              </w:rPr>
              <w:t>据公司了解，</w:t>
            </w:r>
            <w:r>
              <w:rPr>
                <w:rFonts w:ascii="宋体" w:hAnsi="Calibri" w:hint="eastAsia"/>
                <w:sz w:val="24"/>
                <w:szCs w:val="24"/>
              </w:rPr>
              <w:t>华融置业有限责任公司是中国华融资产管理股份有限公司旗下的</w:t>
            </w:r>
            <w:r w:rsidRPr="008B5D35">
              <w:rPr>
                <w:rFonts w:ascii="宋体" w:hAnsi="Calibri" w:hint="eastAsia"/>
                <w:sz w:val="24"/>
                <w:szCs w:val="24"/>
              </w:rPr>
              <w:t>唯一房地产业务平台，也是中国华融做强不良资产处置主业、</w:t>
            </w:r>
            <w:r>
              <w:rPr>
                <w:rFonts w:ascii="宋体" w:hAnsi="Calibri" w:hint="eastAsia"/>
                <w:sz w:val="24"/>
                <w:szCs w:val="24"/>
              </w:rPr>
              <w:t>实现国有资产保值增值的重要战略平台。</w:t>
            </w:r>
            <w:r w:rsidRPr="008B5D35">
              <w:rPr>
                <w:rFonts w:ascii="宋体" w:hAnsi="Calibri" w:hint="eastAsia"/>
                <w:sz w:val="24"/>
                <w:szCs w:val="24"/>
              </w:rPr>
              <w:t>多年来</w:t>
            </w:r>
            <w:r>
              <w:rPr>
                <w:rFonts w:ascii="宋体" w:hAnsi="Calibri" w:hint="eastAsia"/>
                <w:sz w:val="24"/>
                <w:szCs w:val="24"/>
              </w:rPr>
              <w:t>，华融置业充分发挥房地产专业平台作用，</w:t>
            </w:r>
            <w:r w:rsidR="008B5D35">
              <w:rPr>
                <w:rFonts w:ascii="宋体" w:hAnsi="Calibri" w:hint="eastAsia"/>
                <w:sz w:val="24"/>
                <w:szCs w:val="24"/>
              </w:rPr>
              <w:t>将综合金融服务与地产业务有机结合</w:t>
            </w:r>
            <w:r>
              <w:rPr>
                <w:rFonts w:ascii="宋体" w:hAnsi="Calibri" w:hint="eastAsia"/>
                <w:sz w:val="24"/>
                <w:szCs w:val="24"/>
              </w:rPr>
              <w:t>，实现国有资产的保值与增值，积极开拓房地产开发项目以及以围绕中心城市城区改造和盘活不良资产项目。</w:t>
            </w:r>
          </w:p>
          <w:p w:rsidR="00F76C52" w:rsidRDefault="00E162E5">
            <w:pPr>
              <w:spacing w:line="360" w:lineRule="auto"/>
              <w:rPr>
                <w:rFonts w:ascii="宋体" w:hAnsi="Calibri"/>
                <w:color w:val="FF0000"/>
                <w:sz w:val="24"/>
                <w:szCs w:val="24"/>
              </w:rPr>
            </w:pPr>
            <w:r>
              <w:rPr>
                <w:rFonts w:ascii="宋体" w:hAnsi="Calibri" w:hint="eastAsia"/>
                <w:sz w:val="24"/>
                <w:szCs w:val="24"/>
              </w:rPr>
              <w:t>公司认为，华融置业在商业地产、住宅地产、一级土地开发等有着丰富的项目经验，延华智能布局智慧城市众多细分领域，双方在业务上有相当高的契合性，未来能</w:t>
            </w:r>
            <w:r w:rsidRPr="00FB2433">
              <w:rPr>
                <w:rFonts w:ascii="宋体" w:hAnsi="Calibri" w:hint="eastAsia"/>
                <w:sz w:val="24"/>
                <w:szCs w:val="24"/>
              </w:rPr>
              <w:t>在智能建筑、智慧园区/社区、康养地产、特色小镇等领域进一步深入合作，实现共赢。</w:t>
            </w:r>
            <w:r>
              <w:rPr>
                <w:rFonts w:ascii="宋体" w:hAnsi="Calibri" w:hint="eastAsia"/>
                <w:sz w:val="24"/>
                <w:szCs w:val="24"/>
              </w:rPr>
              <w:t>公</w:t>
            </w:r>
            <w:r w:rsidRPr="00FB2433">
              <w:rPr>
                <w:rFonts w:ascii="宋体" w:hAnsi="Calibri" w:hint="eastAsia"/>
                <w:sz w:val="24"/>
                <w:szCs w:val="24"/>
              </w:rPr>
              <w:t>司非常期待股东华融津投能够推动华融置业与公司建立更紧密的战略合作关系。</w:t>
            </w:r>
          </w:p>
          <w:p w:rsidR="00F76C52" w:rsidRDefault="00F76C52">
            <w:pPr>
              <w:spacing w:line="360" w:lineRule="auto"/>
              <w:rPr>
                <w:rFonts w:ascii="宋体" w:hAnsi="Calibri"/>
                <w:b/>
                <w:sz w:val="24"/>
                <w:szCs w:val="24"/>
              </w:rPr>
            </w:pPr>
          </w:p>
          <w:p w:rsidR="00F76C52" w:rsidRDefault="00E162E5">
            <w:pPr>
              <w:spacing w:line="360" w:lineRule="auto"/>
              <w:rPr>
                <w:rFonts w:ascii="宋体" w:hAnsi="Calibri"/>
                <w:b/>
                <w:sz w:val="24"/>
                <w:szCs w:val="24"/>
              </w:rPr>
            </w:pPr>
            <w:r>
              <w:rPr>
                <w:rFonts w:ascii="宋体" w:hAnsi="Calibri"/>
                <w:b/>
                <w:sz w:val="24"/>
                <w:szCs w:val="24"/>
              </w:rPr>
              <w:t>4</w:t>
            </w:r>
            <w:r>
              <w:rPr>
                <w:rFonts w:ascii="宋体" w:hAnsi="Calibri" w:hint="eastAsia"/>
                <w:b/>
                <w:sz w:val="24"/>
                <w:szCs w:val="24"/>
              </w:rPr>
              <w:t>、问：延华智能在智慧城市顶层设计咨询方面的技术实力和项目储备如何？相关成功案例是否具备快速复制推广的可能？</w:t>
            </w:r>
          </w:p>
          <w:p w:rsidR="00F76C52" w:rsidRDefault="00E162E5" w:rsidP="00E162E5">
            <w:pPr>
              <w:spacing w:line="360" w:lineRule="auto"/>
              <w:rPr>
                <w:rFonts w:ascii="宋体" w:hAnsi="Calibri"/>
                <w:sz w:val="24"/>
                <w:szCs w:val="24"/>
              </w:rPr>
            </w:pPr>
            <w:r>
              <w:rPr>
                <w:rFonts w:ascii="宋体" w:hAnsi="Calibri" w:hint="eastAsia"/>
                <w:b/>
                <w:sz w:val="24"/>
                <w:szCs w:val="24"/>
              </w:rPr>
              <w:t>答</w:t>
            </w:r>
            <w:r>
              <w:rPr>
                <w:rFonts w:ascii="宋体" w:hAnsi="Calibri"/>
                <w:b/>
                <w:sz w:val="24"/>
                <w:szCs w:val="24"/>
              </w:rPr>
              <w:t>：</w:t>
            </w:r>
            <w:r>
              <w:rPr>
                <w:rFonts w:ascii="宋体" w:hAnsi="Calibri" w:hint="eastAsia"/>
                <w:sz w:val="24"/>
                <w:szCs w:val="24"/>
              </w:rPr>
              <w:t>智慧城市顶层设计及咨询是公司重要的业务模块，相关成功案例有智慧遵义顶层设计、咸宁市智慧城市发展规划、上海智慧真如副中心顶层设计、荆门市智慧城市顶层设计等，积累了丰富的经验。公司立足城市现状和需求，突出城市特色和产业特点，为每个城市量身定制城市信息化战略规划、智慧城市建设需求分析、智慧城市建设战略目标、技术和业务设计、重点建设项目规划、建设运营模式规划等全方位设计。</w:t>
            </w:r>
            <w:r>
              <w:rPr>
                <w:rFonts w:ascii="宋体" w:hAnsi="Calibri" w:hint="eastAsia"/>
                <w:color w:val="000000"/>
                <w:sz w:val="24"/>
                <w:szCs w:val="24"/>
              </w:rPr>
              <w:t>华融置业目前在珠海、重庆、青岛、</w:t>
            </w:r>
            <w:r w:rsidRPr="00300DA7">
              <w:rPr>
                <w:rFonts w:ascii="宋体" w:hAnsi="Calibri" w:hint="eastAsia"/>
                <w:sz w:val="24"/>
                <w:szCs w:val="24"/>
              </w:rPr>
              <w:t>京津冀</w:t>
            </w:r>
            <w:r>
              <w:rPr>
                <w:rFonts w:ascii="宋体" w:hAnsi="Calibri" w:hint="eastAsia"/>
                <w:color w:val="000000"/>
                <w:sz w:val="24"/>
                <w:szCs w:val="24"/>
              </w:rPr>
              <w:t>等区域的重点中心城市布局，公司</w:t>
            </w:r>
            <w:r w:rsidRPr="009F2877">
              <w:rPr>
                <w:rFonts w:ascii="宋体" w:hAnsi="Calibri" w:hint="eastAsia"/>
                <w:sz w:val="24"/>
                <w:szCs w:val="24"/>
              </w:rPr>
              <w:t>了解到当地政府具有继续深化城市信息化改造的愿景和动力，希望依托华融的平台与以上相关政府机构进行良好沟通，建立合作关系。公司相信，未来在华融以及胡黎明先生等</w:t>
            </w:r>
            <w:r>
              <w:rPr>
                <w:rFonts w:ascii="宋体" w:hAnsi="Calibri" w:hint="eastAsia"/>
                <w:sz w:val="24"/>
                <w:szCs w:val="24"/>
              </w:rPr>
              <w:t>各方股东的大力支持下，定能取得更加良好的业绩。</w:t>
            </w:r>
          </w:p>
        </w:tc>
      </w:tr>
      <w:tr w:rsidR="00F76C52">
        <w:tc>
          <w:tcPr>
            <w:tcW w:w="1862" w:type="dxa"/>
            <w:vAlign w:val="center"/>
          </w:tcPr>
          <w:p w:rsidR="00F76C52" w:rsidRDefault="00E162E5">
            <w:pPr>
              <w:spacing w:line="480" w:lineRule="atLeast"/>
              <w:jc w:val="center"/>
              <w:rPr>
                <w:rFonts w:ascii="宋体" w:hAnsi="宋体"/>
                <w:b/>
                <w:bCs/>
                <w:iCs/>
                <w:sz w:val="24"/>
                <w:szCs w:val="24"/>
              </w:rPr>
            </w:pPr>
            <w:r>
              <w:rPr>
                <w:rFonts w:ascii="宋体" w:hAnsi="宋体" w:hint="eastAsia"/>
                <w:b/>
                <w:bCs/>
                <w:iCs/>
                <w:sz w:val="24"/>
                <w:szCs w:val="24"/>
              </w:rPr>
              <w:lastRenderedPageBreak/>
              <w:t>附件清单</w:t>
            </w:r>
          </w:p>
          <w:p w:rsidR="00F76C52" w:rsidRDefault="00E162E5">
            <w:pPr>
              <w:spacing w:line="480" w:lineRule="atLeast"/>
              <w:jc w:val="center"/>
              <w:rPr>
                <w:rFonts w:ascii="宋体"/>
                <w:b/>
                <w:bCs/>
                <w:iCs/>
                <w:sz w:val="24"/>
                <w:szCs w:val="24"/>
              </w:rPr>
            </w:pPr>
            <w:r>
              <w:rPr>
                <w:rFonts w:ascii="宋体" w:hAnsi="宋体" w:hint="eastAsia"/>
                <w:b/>
                <w:bCs/>
                <w:iCs/>
                <w:sz w:val="24"/>
                <w:szCs w:val="24"/>
              </w:rPr>
              <w:t>（如有）</w:t>
            </w:r>
          </w:p>
        </w:tc>
        <w:tc>
          <w:tcPr>
            <w:tcW w:w="6434" w:type="dxa"/>
            <w:vAlign w:val="center"/>
          </w:tcPr>
          <w:p w:rsidR="00F76C52" w:rsidRDefault="00E162E5">
            <w:pPr>
              <w:spacing w:line="480" w:lineRule="atLeast"/>
              <w:jc w:val="left"/>
              <w:rPr>
                <w:rFonts w:ascii="宋体"/>
                <w:bCs/>
                <w:iCs/>
                <w:sz w:val="24"/>
                <w:szCs w:val="24"/>
              </w:rPr>
            </w:pPr>
            <w:r>
              <w:rPr>
                <w:rFonts w:ascii="宋体" w:hAnsi="宋体" w:hint="eastAsia"/>
                <w:bCs/>
                <w:iCs/>
                <w:sz w:val="24"/>
                <w:szCs w:val="24"/>
              </w:rPr>
              <w:t>无</w:t>
            </w:r>
          </w:p>
        </w:tc>
      </w:tr>
      <w:tr w:rsidR="00F76C52">
        <w:tc>
          <w:tcPr>
            <w:tcW w:w="1862" w:type="dxa"/>
            <w:vAlign w:val="center"/>
          </w:tcPr>
          <w:p w:rsidR="00F76C52" w:rsidRDefault="00E162E5">
            <w:pPr>
              <w:spacing w:line="480" w:lineRule="atLeast"/>
              <w:jc w:val="center"/>
              <w:rPr>
                <w:rFonts w:ascii="宋体"/>
                <w:b/>
                <w:bCs/>
                <w:iCs/>
                <w:sz w:val="24"/>
                <w:szCs w:val="24"/>
              </w:rPr>
            </w:pPr>
            <w:r>
              <w:rPr>
                <w:rFonts w:ascii="宋体" w:hAnsi="宋体" w:hint="eastAsia"/>
                <w:b/>
                <w:bCs/>
                <w:iCs/>
                <w:sz w:val="24"/>
                <w:szCs w:val="24"/>
              </w:rPr>
              <w:t>日期</w:t>
            </w:r>
          </w:p>
        </w:tc>
        <w:tc>
          <w:tcPr>
            <w:tcW w:w="6434" w:type="dxa"/>
            <w:vAlign w:val="center"/>
          </w:tcPr>
          <w:p w:rsidR="00F76C52" w:rsidRDefault="00E162E5" w:rsidP="00832F62">
            <w:pPr>
              <w:spacing w:line="480" w:lineRule="atLeast"/>
              <w:jc w:val="left"/>
              <w:rPr>
                <w:rFonts w:ascii="宋体"/>
                <w:bCs/>
                <w:iCs/>
                <w:sz w:val="24"/>
                <w:szCs w:val="24"/>
              </w:rPr>
            </w:pPr>
            <w:r>
              <w:rPr>
                <w:rFonts w:ascii="宋体" w:hAnsi="宋体"/>
                <w:bCs/>
                <w:iCs/>
                <w:sz w:val="24"/>
                <w:szCs w:val="24"/>
              </w:rPr>
              <w:t>2019</w:t>
            </w:r>
            <w:r>
              <w:rPr>
                <w:rFonts w:ascii="宋体" w:hAnsi="宋体" w:hint="eastAsia"/>
                <w:bCs/>
                <w:iCs/>
                <w:sz w:val="24"/>
                <w:szCs w:val="24"/>
              </w:rPr>
              <w:t>年</w:t>
            </w:r>
            <w:r>
              <w:rPr>
                <w:rFonts w:ascii="宋体" w:hAnsi="宋体"/>
                <w:bCs/>
                <w:iCs/>
                <w:sz w:val="24"/>
                <w:szCs w:val="24"/>
              </w:rPr>
              <w:t>7</w:t>
            </w:r>
            <w:r>
              <w:rPr>
                <w:rFonts w:ascii="宋体" w:hAnsi="宋体" w:hint="eastAsia"/>
                <w:bCs/>
                <w:iCs/>
                <w:sz w:val="24"/>
                <w:szCs w:val="24"/>
              </w:rPr>
              <w:t>月</w:t>
            </w:r>
            <w:r>
              <w:rPr>
                <w:rFonts w:ascii="宋体" w:hAnsi="宋体"/>
                <w:bCs/>
                <w:iCs/>
                <w:sz w:val="24"/>
                <w:szCs w:val="24"/>
              </w:rPr>
              <w:t>2</w:t>
            </w:r>
            <w:r w:rsidR="00832F62">
              <w:rPr>
                <w:rFonts w:ascii="宋体" w:hAnsi="宋体"/>
                <w:bCs/>
                <w:iCs/>
                <w:sz w:val="24"/>
                <w:szCs w:val="24"/>
              </w:rPr>
              <w:t>9</w:t>
            </w:r>
            <w:bookmarkStart w:id="0" w:name="_GoBack"/>
            <w:bookmarkEnd w:id="0"/>
            <w:r>
              <w:rPr>
                <w:rFonts w:ascii="宋体" w:hAnsi="宋体" w:hint="eastAsia"/>
                <w:bCs/>
                <w:iCs/>
                <w:sz w:val="24"/>
                <w:szCs w:val="24"/>
              </w:rPr>
              <w:t>日</w:t>
            </w:r>
          </w:p>
        </w:tc>
      </w:tr>
    </w:tbl>
    <w:p w:rsidR="00F76C52" w:rsidRDefault="00F76C52"/>
    <w:sectPr w:rsidR="00F76C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492" w:rsidRDefault="00751492" w:rsidP="002E6BF6">
      <w:r>
        <w:separator/>
      </w:r>
    </w:p>
  </w:endnote>
  <w:endnote w:type="continuationSeparator" w:id="0">
    <w:p w:rsidR="00751492" w:rsidRDefault="00751492" w:rsidP="002E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492" w:rsidRDefault="00751492" w:rsidP="002E6BF6">
      <w:r>
        <w:separator/>
      </w:r>
    </w:p>
  </w:footnote>
  <w:footnote w:type="continuationSeparator" w:id="0">
    <w:p w:rsidR="00751492" w:rsidRDefault="00751492" w:rsidP="002E6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FE0D70A"/>
    <w:lvl w:ilvl="0" w:tplc="2EAAB2CC">
      <w:start w:val="1"/>
      <w:numFmt w:val="japaneseCounting"/>
      <w:lvlText w:val="%1、"/>
      <w:lvlJc w:val="left"/>
      <w:pPr>
        <w:ind w:left="720" w:hanging="720"/>
      </w:pPr>
      <w:rPr>
        <w:rFonts w:hAnsi="Times New Roman"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2DF71A01"/>
    <w:multiLevelType w:val="multilevel"/>
    <w:tmpl w:val="610C7CAC"/>
    <w:lvl w:ilvl="0">
      <w:start w:val="1"/>
      <w:numFmt w:val="bullet"/>
      <w:lvlText w:val=""/>
      <w:lvlJc w:val="left"/>
      <w:pPr>
        <w:tabs>
          <w:tab w:val="left" w:pos="0"/>
        </w:tabs>
        <w:ind w:left="0" w:firstLine="0"/>
      </w:pPr>
      <w:rPr>
        <w:rFonts w:ascii="Wingdings" w:hAnsi="Wingdings"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76C52"/>
    <w:rsid w:val="00081F8E"/>
    <w:rsid w:val="00246C97"/>
    <w:rsid w:val="00253478"/>
    <w:rsid w:val="002643AF"/>
    <w:rsid w:val="002E6BF6"/>
    <w:rsid w:val="00300DA7"/>
    <w:rsid w:val="005D2D6D"/>
    <w:rsid w:val="005E4A19"/>
    <w:rsid w:val="0060432F"/>
    <w:rsid w:val="00751492"/>
    <w:rsid w:val="00832F62"/>
    <w:rsid w:val="008A0F0D"/>
    <w:rsid w:val="008B5D35"/>
    <w:rsid w:val="009D2DB5"/>
    <w:rsid w:val="009F2877"/>
    <w:rsid w:val="00A841B6"/>
    <w:rsid w:val="00A86234"/>
    <w:rsid w:val="00B209A1"/>
    <w:rsid w:val="00BA7E92"/>
    <w:rsid w:val="00BA7FF2"/>
    <w:rsid w:val="00C731D3"/>
    <w:rsid w:val="00E162E5"/>
    <w:rsid w:val="00EC2E60"/>
    <w:rsid w:val="00F76C52"/>
    <w:rsid w:val="00FB2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098001-FA21-4B86-8CB5-B59F76FF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rPr>
      <w:rFonts w:cs="Times New Roman"/>
      <w:sz w:val="18"/>
      <w:szCs w:val="18"/>
    </w:rPr>
  </w:style>
  <w:style w:type="paragraph" w:styleId="a4">
    <w:name w:val="footer"/>
    <w:basedOn w:val="a"/>
    <w:link w:val="Char0"/>
    <w:uiPriority w:val="99"/>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rPr>
      <w:rFonts w:cs="Times New Roman"/>
      <w:sz w:val="18"/>
      <w:szCs w:val="18"/>
    </w:rPr>
  </w:style>
  <w:style w:type="character" w:styleId="a5">
    <w:name w:val="annotation reference"/>
    <w:uiPriority w:val="99"/>
    <w:rPr>
      <w:rFonts w:cs="Times New Roman"/>
      <w:sz w:val="21"/>
      <w:szCs w:val="21"/>
    </w:rPr>
  </w:style>
  <w:style w:type="paragraph" w:styleId="a6">
    <w:name w:val="annotation text"/>
    <w:basedOn w:val="a"/>
    <w:link w:val="Char1"/>
    <w:uiPriority w:val="99"/>
    <w:pPr>
      <w:jc w:val="left"/>
    </w:pPr>
  </w:style>
  <w:style w:type="character" w:customStyle="1" w:styleId="Char1">
    <w:name w:val="批注文字 Char"/>
    <w:link w:val="a6"/>
    <w:uiPriority w:val="99"/>
    <w:rPr>
      <w:rFonts w:ascii="Times New Roman" w:hAnsi="Times New Roman" w:cs="Times New Roman"/>
      <w:kern w:val="2"/>
      <w:sz w:val="21"/>
    </w:rPr>
  </w:style>
  <w:style w:type="paragraph" w:styleId="a7">
    <w:name w:val="annotation subject"/>
    <w:basedOn w:val="a6"/>
    <w:next w:val="a6"/>
    <w:link w:val="Char2"/>
    <w:uiPriority w:val="99"/>
    <w:rPr>
      <w:b/>
      <w:bCs/>
    </w:rPr>
  </w:style>
  <w:style w:type="character" w:customStyle="1" w:styleId="Char2">
    <w:name w:val="批注主题 Char"/>
    <w:link w:val="a7"/>
    <w:uiPriority w:val="99"/>
    <w:rPr>
      <w:rFonts w:ascii="Times New Roman" w:hAnsi="Times New Roman" w:cs="Times New Roman"/>
      <w:b/>
      <w:bCs/>
      <w:kern w:val="2"/>
      <w:sz w:val="21"/>
    </w:rPr>
  </w:style>
  <w:style w:type="paragraph" w:styleId="a8">
    <w:name w:val="Balloon Text"/>
    <w:basedOn w:val="a"/>
    <w:link w:val="Char3"/>
    <w:uiPriority w:val="99"/>
    <w:rPr>
      <w:sz w:val="18"/>
      <w:szCs w:val="18"/>
    </w:rPr>
  </w:style>
  <w:style w:type="character" w:customStyle="1" w:styleId="Char3">
    <w:name w:val="批注框文本 Char"/>
    <w:link w:val="a8"/>
    <w:uiPriority w:val="99"/>
    <w:rPr>
      <w:rFonts w:ascii="Times New Roman" w:hAnsi="Times New Roman" w:cs="Times New Roman"/>
      <w:kern w:val="2"/>
      <w:sz w:val="18"/>
      <w:szCs w:val="18"/>
    </w:rPr>
  </w:style>
  <w:style w:type="paragraph" w:styleId="a9">
    <w:name w:val="Normal (Web)"/>
    <w:basedOn w:val="a"/>
    <w:uiPriority w:val="9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F683-6508-41BF-AAC8-4D1874D9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324</Words>
  <Characters>1849</Characters>
  <Application>Microsoft Office Word</Application>
  <DocSecurity>0</DocSecurity>
  <Lines>15</Lines>
  <Paragraphs>4</Paragraphs>
  <ScaleCrop>false</ScaleCrop>
  <Company>Microsoft</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证券代码：002178 证券简称：延华智能</dc:title>
  <dc:creator>Dell</dc:creator>
  <cp:lastModifiedBy>admin</cp:lastModifiedBy>
  <cp:revision>40</cp:revision>
  <cp:lastPrinted>2016-02-19T01:51:00Z</cp:lastPrinted>
  <dcterms:created xsi:type="dcterms:W3CDTF">2019-07-29T03:42:00Z</dcterms:created>
  <dcterms:modified xsi:type="dcterms:W3CDTF">2019-07-29T07:19:00Z</dcterms:modified>
</cp:coreProperties>
</file>