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A1521F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威灵顿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A1521F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A1521F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A1521F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B37412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胡跃飞</w:t>
            </w:r>
            <w:r w:rsidR="00C87159" w:rsidRP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A115A1" w:rsidRDefault="00A115A1" w:rsidP="00A115A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A115A1" w:rsidRDefault="00A115A1" w:rsidP="00A115A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存款情况及趋势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A115A1" w:rsidRDefault="00A115A1" w:rsidP="00A115A1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9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3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，本行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吸收存款余额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22,869.77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7.4%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存款增长整体保持平稳。其中，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个人存款余额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5,215.74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亿元、较上年末增长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13.0%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保本理财产品余额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941.83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亿元、较上年末增长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13.9%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结构性存款余额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4,848.06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亿元、较上年末增长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11.8%</w:t>
            </w:r>
            <w:r w:rsidR="00A1521F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非保本理财产品余额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5,584.61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亿元、较上年末增长</w:t>
            </w:r>
            <w:r w:rsidR="00A1521F" w:rsidRPr="00A1521F">
              <w:rPr>
                <w:rFonts w:ascii="Arial" w:eastAsia="华文细黑" w:hAnsi="Arial"/>
                <w:sz w:val="21"/>
                <w:szCs w:val="21"/>
              </w:rPr>
              <w:t>3.8%</w:t>
            </w:r>
            <w:r w:rsidR="00A1521F" w:rsidRPr="00A1521F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个人存款余额为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4,615.91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35.4%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未来，本行将持续提供多元化的存款产品，提升活期存款占比，保持存款稳定增长。</w:t>
            </w:r>
          </w:p>
          <w:p w:rsidR="009E293D" w:rsidRDefault="009E293D" w:rsidP="00A115A1">
            <w:pPr>
              <w:rPr>
                <w:rFonts w:ascii="Arial" w:eastAsia="华文细黑" w:hAnsi="Arial" w:hint="eastAsia"/>
                <w:lang w:bidi="he-IL"/>
              </w:rPr>
            </w:pPr>
            <w:bookmarkStart w:id="0" w:name="_Toc464590920"/>
            <w:bookmarkStart w:id="1" w:name="_Toc464720594"/>
            <w:bookmarkStart w:id="2" w:name="_Toc464590889"/>
            <w:bookmarkStart w:id="3" w:name="_Toc464720557"/>
            <w:bookmarkStart w:id="4" w:name="_Toc448833286"/>
            <w:bookmarkStart w:id="5" w:name="_Toc458425958"/>
            <w:bookmarkStart w:id="6" w:name="_Toc464590895"/>
            <w:bookmarkStart w:id="7" w:name="_Toc464720571"/>
          </w:p>
          <w:p w:rsidR="00353BD6" w:rsidRDefault="00353BD6" w:rsidP="00353BD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零售增长迅速，如何把握风控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53BD6" w:rsidRPr="00353BD6" w:rsidRDefault="00353BD6" w:rsidP="00353BD6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353BD6">
              <w:rPr>
                <w:rFonts w:ascii="Arial" w:eastAsia="华文细黑" w:hAnsi="Arial"/>
                <w:sz w:val="21"/>
                <w:szCs w:val="21"/>
              </w:rPr>
              <w:t>2019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3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月末，本行个人贷款不良率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1.10%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0.03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个百分点。受到宏观经济下行、共债风险上升、汽车消费下滑等外部因素的影响，消费金融全行业的风险都有所上升，本行零售产品的不良率也略有上升，但整体风险表现仍维持在相对较低水平。其中信用卡不良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1.34%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个百分点；“新一贷”不良率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1.14%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0.14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个百分点；汽车金融业务的不良率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0.62%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0.08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个百分点。</w:t>
            </w:r>
            <w:bookmarkStart w:id="8" w:name="_GoBack"/>
            <w:bookmarkEnd w:id="8"/>
          </w:p>
          <w:p w:rsidR="00353BD6" w:rsidRPr="00353BD6" w:rsidRDefault="00353BD6" w:rsidP="00353BD6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本行自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2017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年底开始提前进行风险政策调整，重点防范共债风险，有效控制并降低了高风险客户占比，新发放业务的资产质量较好，预计这些管制措施的优化效应将会在</w:t>
            </w:r>
            <w:r w:rsidRPr="00353BD6">
              <w:rPr>
                <w:rFonts w:ascii="Arial" w:eastAsia="华文细黑" w:hAnsi="Arial"/>
                <w:sz w:val="21"/>
                <w:szCs w:val="21"/>
              </w:rPr>
              <w:t>2019</w:t>
            </w:r>
            <w:r w:rsidRPr="00353BD6">
              <w:rPr>
                <w:rFonts w:ascii="Arial" w:eastAsia="华文细黑" w:hAnsi="Arial" w:hint="eastAsia"/>
                <w:sz w:val="21"/>
                <w:szCs w:val="21"/>
              </w:rPr>
              <w:t>年下半年逐渐展现，零售主要贷款的不良率下半年将呈现稳中向好的趋势。</w:t>
            </w:r>
          </w:p>
          <w:p w:rsidR="00353BD6" w:rsidRPr="00353BD6" w:rsidRDefault="00353BD6" w:rsidP="00A115A1">
            <w:pPr>
              <w:rPr>
                <w:rFonts w:ascii="Arial" w:eastAsia="华文细黑" w:hAnsi="Arial"/>
                <w:lang w:bidi="he-IL"/>
              </w:rPr>
            </w:pPr>
          </w:p>
          <w:p w:rsidR="009B7340" w:rsidRPr="00CA0689" w:rsidRDefault="009B7340" w:rsidP="009B734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9B7340" w:rsidRPr="00B37412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月末，本行信用卡业务继续保持稳健增长：</w:t>
            </w:r>
          </w:p>
          <w:p w:rsidR="009B7340" w:rsidRPr="00B37412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）流通卡量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5,352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万张，较上年末增长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3.9%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；</w:t>
            </w:r>
          </w:p>
          <w:p w:rsidR="009B7340" w:rsidRPr="00B37412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）信用卡商城交易量同比增长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24.7%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；</w:t>
            </w:r>
          </w:p>
          <w:p w:rsidR="009B7340" w:rsidRPr="00B37412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）一季度总交易金额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8,010.30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43.2%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；</w:t>
            </w:r>
          </w:p>
          <w:p w:rsidR="009B7340" w:rsidRPr="00B37412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4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）贷款余额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4,923.07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B37412">
              <w:rPr>
                <w:rFonts w:ascii="Arial" w:eastAsia="华文细黑" w:hAnsi="Arial"/>
                <w:bCs/>
                <w:sz w:val="21"/>
                <w:szCs w:val="21"/>
              </w:rPr>
              <w:t>4.0%</w:t>
            </w:r>
            <w:r w:rsidRPr="00B37412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9B7340" w:rsidRPr="009B7340" w:rsidRDefault="009B7340" w:rsidP="00A115A1">
            <w:pPr>
              <w:rPr>
                <w:rFonts w:ascii="Arial" w:eastAsia="华文细黑" w:hAnsi="Arial"/>
                <w:lang w:bidi="he-IL"/>
              </w:rPr>
            </w:pPr>
          </w:p>
          <w:p w:rsidR="00FD0E95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FD0E95" w:rsidRDefault="006350C6" w:rsidP="006350C6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年一季度，综拓渠道迁徙客户（不含信用卡）净增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74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39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lastRenderedPageBreak/>
              <w:t>万户，占零售整体净增客户（不含信用卡）的比例为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34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2.76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万户，占整体净增财富客户的比例为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37.9%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AUM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841.31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亿元，占零售整体净增客户资产余额的比例为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34.1%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。综拓渠道发放“新一贷”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152.36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亿元，占“新一贷”整体发放的比例为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55.03%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121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亿元，占汽融贷款整体发放的比例为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37.0%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。信用卡通过交叉销售渠道发卡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112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33.7%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。零售全渠道代销集团保险累计实现非利息净收入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8.7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40.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50C6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6350C6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bookmarkStart w:id="9" w:name="_Toc448833292"/>
          </w:p>
          <w:p w:rsidR="009E293D" w:rsidRDefault="009E293D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C87159" w:rsidRPr="00C87159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A115A1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0" w:name="_Toc496018961"/>
            <w:r>
              <w:rPr>
                <w:rFonts w:ascii="Arial" w:eastAsia="华文细黑" w:hAnsi="Arial" w:hint="eastAsia"/>
                <w:sz w:val="21"/>
              </w:rPr>
              <w:t>资产质量情况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9B7340" w:rsidRPr="00A1521F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本行积极应对外部风险、调整业务结构，将贷款更多地投放到资产质量较好的零售业务。对公持续做精，新发放贷款聚焦重点行业、重点客户和重点产品，同时继续做好存量资产结构调整，加大问题资产清收处置力度，资产质量持续改善。</w:t>
            </w:r>
          </w:p>
          <w:p w:rsidR="00E00681" w:rsidRPr="00A1521F" w:rsidRDefault="009B7340" w:rsidP="009B7340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截至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月末，本行逾期贷款占比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2.45%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、逾期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90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天以上贷款占比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1.66%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、关注率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2.58%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和不良率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1.73%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较上年末均有下降，偏离度低于</w:t>
            </w:r>
            <w:r w:rsidRPr="00A1521F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bookmarkEnd w:id="0"/>
          <w:bookmarkEnd w:id="1"/>
          <w:bookmarkEnd w:id="9"/>
          <w:bookmarkEnd w:id="10"/>
          <w:p w:rsidR="00E00681" w:rsidRDefault="00E00681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C87159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理财子公司进展？</w:t>
            </w:r>
          </w:p>
          <w:p w:rsidR="00C87159" w:rsidRPr="00A115A1" w:rsidRDefault="00A115A1" w:rsidP="00A115A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bookmarkEnd w:id="2"/>
          <w:bookmarkEnd w:id="3"/>
          <w:bookmarkEnd w:id="4"/>
          <w:bookmarkEnd w:id="5"/>
          <w:bookmarkEnd w:id="6"/>
          <w:bookmarkEnd w:id="7"/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9B7340" w:rsidRPr="00CA0689" w:rsidRDefault="009B7340" w:rsidP="009B734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拨备覆盖率</w:t>
            </w:r>
            <w:r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9B7340" w:rsidRPr="00CA0689" w:rsidRDefault="009B7340" w:rsidP="009B7340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9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本行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贷款减值准备余额为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604.08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11.5%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；拨贷比为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2.94%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0.23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个百分点；拨备覆盖率为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170.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59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15.3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5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个百分点，逾期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90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177.7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Pr="00A1521F">
              <w:rPr>
                <w:rFonts w:ascii="Arial" w:eastAsia="华文细黑" w:hAnsi="Arial"/>
                <w:sz w:val="21"/>
                <w:szCs w:val="21"/>
              </w:rPr>
              <w:t>18.2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未来将继续通过各种措施不断提升拨备增强风险抵御能力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9B7340" w:rsidRPr="00A115A1" w:rsidRDefault="009B7340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  <w:lang w:eastAsia="zh-TW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A115A1" w:rsidRDefault="00A1521F" w:rsidP="00A1521F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A1521F">
              <w:rPr>
                <w:rFonts w:ascii="Arial" w:eastAsia="华文细黑" w:hAnsi="Arial" w:hint="eastAsia"/>
                <w:sz w:val="21"/>
                <w:szCs w:val="21"/>
              </w:rPr>
              <w:t>月末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，本行核心一级资本充足率、一级资本充足率及资本充足率分别为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8.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77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9.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61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11.5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="00A115A1" w:rsidRPr="00C87159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一季度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87159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7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9C" w:rsidRDefault="00461C9C" w:rsidP="00D96584">
      <w:r>
        <w:separator/>
      </w:r>
    </w:p>
  </w:endnote>
  <w:endnote w:type="continuationSeparator" w:id="0">
    <w:p w:rsidR="00461C9C" w:rsidRDefault="00461C9C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9C" w:rsidRDefault="00461C9C" w:rsidP="00D96584">
      <w:r>
        <w:separator/>
      </w:r>
    </w:p>
  </w:footnote>
  <w:footnote w:type="continuationSeparator" w:id="0">
    <w:p w:rsidR="00461C9C" w:rsidRDefault="00461C9C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53BD6"/>
    <w:rsid w:val="00375010"/>
    <w:rsid w:val="003777D5"/>
    <w:rsid w:val="003B107D"/>
    <w:rsid w:val="003B721F"/>
    <w:rsid w:val="003C375D"/>
    <w:rsid w:val="003C42A4"/>
    <w:rsid w:val="003F144D"/>
    <w:rsid w:val="003F79D6"/>
    <w:rsid w:val="00413B4B"/>
    <w:rsid w:val="0043629D"/>
    <w:rsid w:val="0045059E"/>
    <w:rsid w:val="00461C9C"/>
    <w:rsid w:val="0049405C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350C6"/>
    <w:rsid w:val="00684A13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B7340"/>
    <w:rsid w:val="009C5679"/>
    <w:rsid w:val="009E293D"/>
    <w:rsid w:val="009F13CD"/>
    <w:rsid w:val="00A06B39"/>
    <w:rsid w:val="00A115A1"/>
    <w:rsid w:val="00A140B8"/>
    <w:rsid w:val="00A1521F"/>
    <w:rsid w:val="00A87A56"/>
    <w:rsid w:val="00AA5A95"/>
    <w:rsid w:val="00AB47CE"/>
    <w:rsid w:val="00AB67BB"/>
    <w:rsid w:val="00B17ECB"/>
    <w:rsid w:val="00B31C4E"/>
    <w:rsid w:val="00B37412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50C4A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346</Words>
  <Characters>1975</Characters>
  <Application>Microsoft Office Word</Application>
  <DocSecurity>0</DocSecurity>
  <Lines>16</Lines>
  <Paragraphs>4</Paragraphs>
  <ScaleCrop>false</ScaleCrop>
  <Company>sdb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8</cp:revision>
  <dcterms:created xsi:type="dcterms:W3CDTF">2019-04-17T06:59:00Z</dcterms:created>
  <dcterms:modified xsi:type="dcterms:W3CDTF">2019-08-01T01:47:00Z</dcterms:modified>
</cp:coreProperties>
</file>