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CA0689" w:rsidRDefault="00EE1C10" w:rsidP="00E055AC">
      <w:pPr>
        <w:spacing w:beforeLines="50" w:before="156" w:afterLines="50" w:after="156"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证券代码：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000001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证券简称：</w:t>
      </w:r>
      <w:r w:rsidR="00D96584" w:rsidRPr="00CA0689">
        <w:rPr>
          <w:rFonts w:ascii="Arial" w:eastAsia="华文细黑" w:hAnsi="Arial" w:hint="eastAsia"/>
          <w:bCs/>
          <w:iCs/>
          <w:color w:val="000000"/>
          <w:szCs w:val="21"/>
        </w:rPr>
        <w:t>平安银行</w:t>
      </w:r>
    </w:p>
    <w:p w:rsidR="00EE1C10" w:rsidRPr="00CA0689" w:rsidRDefault="003317E5" w:rsidP="00E055AC">
      <w:pPr>
        <w:spacing w:beforeLines="50" w:before="156" w:afterLines="50" w:after="156" w:line="400" w:lineRule="exact"/>
        <w:jc w:val="center"/>
        <w:rPr>
          <w:rFonts w:ascii="Arial" w:eastAsia="华文细黑" w:hAnsi="Arial"/>
          <w:b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平安</w:t>
      </w:r>
      <w:r w:rsidR="00EE1C10"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银行股份有限公司投资者关系活动记录表</w:t>
      </w:r>
    </w:p>
    <w:p w:rsidR="00EE1C10" w:rsidRPr="00CA0689" w:rsidRDefault="00EE1C10" w:rsidP="00EE1C10">
      <w:pPr>
        <w:spacing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                       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2552"/>
        <w:gridCol w:w="6379"/>
      </w:tblGrid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C87159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sym w:font="Wingdings" w:char="F0FE"/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特定对象调研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</w:t>
            </w:r>
            <w:r w:rsidR="00EE1C10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分析师会议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媒体采访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  </w:t>
            </w:r>
            <w:r w:rsidR="00FF0263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业绩说明会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新闻发布会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</w:t>
            </w:r>
            <w:r w:rsidR="00D87038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路演活动</w:t>
            </w:r>
          </w:p>
          <w:p w:rsidR="00EE1C10" w:rsidRPr="00CA0689" w:rsidRDefault="00EE1C10" w:rsidP="005B3BAE">
            <w:pPr>
              <w:tabs>
                <w:tab w:val="left" w:pos="3045"/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现场参观</w:t>
            </w:r>
          </w:p>
          <w:p w:rsidR="00EE1C10" w:rsidRPr="00CA0689" w:rsidRDefault="00C87159" w:rsidP="005B3BAE">
            <w:pPr>
              <w:tabs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其他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>（投行会议）</w:t>
            </w:r>
          </w:p>
        </w:tc>
      </w:tr>
      <w:tr w:rsidR="00EE1C10" w:rsidRPr="00CA0689" w:rsidTr="005B3BAE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参与单位名称及人员姓名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471475" w:rsidP="00853994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华泰证券调研团</w:t>
            </w:r>
          </w:p>
        </w:tc>
      </w:tr>
      <w:tr w:rsidR="00EE1C10" w:rsidRPr="00CA0689" w:rsidTr="002721F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43629D" w:rsidP="00471475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471475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</w:t>
            </w:r>
            <w:r w:rsidR="00471475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13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  <w:tr w:rsidR="00EE1C10" w:rsidRPr="00CA0689" w:rsidTr="002721F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5B3BAE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深圳</w:t>
            </w:r>
          </w:p>
        </w:tc>
      </w:tr>
      <w:tr w:rsidR="00EE1C10" w:rsidRPr="00CA0689" w:rsidTr="002721F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471475" w:rsidP="00A1521F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吴俊铭、郑跃龙、陈明敏、董办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投资者关系活动主要内容介绍</w:t>
            </w:r>
          </w:p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D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介绍公司发展战略、经营业绩，回答投资者提问</w:t>
            </w:r>
          </w:p>
          <w:p w:rsidR="002721F3" w:rsidRDefault="002721F3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471475" w:rsidRPr="00471475" w:rsidRDefault="00471475" w:rsidP="0047147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71475">
              <w:rPr>
                <w:rFonts w:ascii="Arial" w:eastAsia="华文细黑" w:hAnsi="Arial" w:hint="eastAsia"/>
                <w:sz w:val="21"/>
              </w:rPr>
              <w:t>净息差的趋势分析？</w:t>
            </w:r>
          </w:p>
          <w:p w:rsidR="00471475" w:rsidRPr="00471475" w:rsidRDefault="00471475" w:rsidP="00471475">
            <w:pPr>
              <w:pStyle w:val="3"/>
              <w:numPr>
                <w:ilvl w:val="0"/>
                <w:numId w:val="0"/>
              </w:numPr>
              <w:ind w:firstLineChars="200" w:firstLine="420"/>
              <w:jc w:val="left"/>
              <w:outlineLvl w:val="2"/>
              <w:rPr>
                <w:rFonts w:ascii="Arial" w:eastAsia="华文细黑" w:hAnsi="Arial"/>
                <w:b w:val="0"/>
                <w:sz w:val="21"/>
              </w:rPr>
            </w:pPr>
            <w:r w:rsidRPr="00471475">
              <w:rPr>
                <w:rFonts w:ascii="Arial" w:eastAsia="华文细黑" w:hAnsi="Arial" w:hint="eastAsia"/>
                <w:b w:val="0"/>
                <w:sz w:val="21"/>
              </w:rPr>
              <w:t>本行持续优化业务结构，个人贷款规模和占比增加，生息资产收益率有所提升，计息负债成本率进一步下降，</w:t>
            </w:r>
            <w:r w:rsidRPr="00471475">
              <w:rPr>
                <w:rFonts w:ascii="Arial" w:eastAsia="华文细黑" w:hAnsi="Arial"/>
                <w:b w:val="0"/>
                <w:sz w:val="21"/>
              </w:rPr>
              <w:t>2019</w:t>
            </w:r>
            <w:r w:rsidRPr="00471475">
              <w:rPr>
                <w:rFonts w:ascii="Arial" w:eastAsia="华文细黑" w:hAnsi="Arial" w:hint="eastAsia"/>
                <w:b w:val="0"/>
                <w:sz w:val="21"/>
              </w:rPr>
              <w:t>年一季净利差、净息差分别为</w:t>
            </w:r>
            <w:r w:rsidRPr="00471475">
              <w:rPr>
                <w:rFonts w:ascii="Arial" w:eastAsia="华文细黑" w:hAnsi="Arial"/>
                <w:b w:val="0"/>
                <w:sz w:val="21"/>
              </w:rPr>
              <w:t>2.44%</w:t>
            </w:r>
            <w:r w:rsidRPr="00471475">
              <w:rPr>
                <w:rFonts w:ascii="Arial" w:eastAsia="华文细黑" w:hAnsi="Arial" w:hint="eastAsia"/>
                <w:b w:val="0"/>
                <w:sz w:val="21"/>
              </w:rPr>
              <w:t>、</w:t>
            </w:r>
            <w:r w:rsidRPr="00471475">
              <w:rPr>
                <w:rFonts w:ascii="Arial" w:eastAsia="华文细黑" w:hAnsi="Arial"/>
                <w:b w:val="0"/>
                <w:sz w:val="21"/>
              </w:rPr>
              <w:t>2.53%</w:t>
            </w:r>
            <w:r w:rsidRPr="00471475">
              <w:rPr>
                <w:rFonts w:ascii="Arial" w:eastAsia="华文细黑" w:hAnsi="Arial" w:hint="eastAsia"/>
                <w:b w:val="0"/>
                <w:sz w:val="21"/>
              </w:rPr>
              <w:t>，同比分别提升</w:t>
            </w:r>
            <w:r w:rsidRPr="00471475">
              <w:rPr>
                <w:rFonts w:ascii="Arial" w:eastAsia="华文细黑" w:hAnsi="Arial"/>
                <w:b w:val="0"/>
                <w:sz w:val="21"/>
              </w:rPr>
              <w:t>39</w:t>
            </w:r>
            <w:r w:rsidRPr="00471475">
              <w:rPr>
                <w:rFonts w:ascii="Arial" w:eastAsia="华文细黑" w:hAnsi="Arial" w:hint="eastAsia"/>
                <w:b w:val="0"/>
                <w:sz w:val="21"/>
              </w:rPr>
              <w:t>个基点、</w:t>
            </w:r>
            <w:r w:rsidRPr="00471475">
              <w:rPr>
                <w:rFonts w:ascii="Arial" w:eastAsia="华文细黑" w:hAnsi="Arial"/>
                <w:b w:val="0"/>
                <w:sz w:val="21"/>
              </w:rPr>
              <w:t>28</w:t>
            </w:r>
            <w:r w:rsidRPr="00471475">
              <w:rPr>
                <w:rFonts w:ascii="Arial" w:eastAsia="华文细黑" w:hAnsi="Arial" w:hint="eastAsia"/>
                <w:b w:val="0"/>
                <w:sz w:val="21"/>
              </w:rPr>
              <w:t>个基点，环比均提升</w:t>
            </w:r>
            <w:r w:rsidRPr="00471475">
              <w:rPr>
                <w:rFonts w:ascii="Arial" w:eastAsia="华文细黑" w:hAnsi="Arial"/>
                <w:b w:val="0"/>
                <w:sz w:val="21"/>
              </w:rPr>
              <w:t>3</w:t>
            </w:r>
            <w:r w:rsidRPr="00471475">
              <w:rPr>
                <w:rFonts w:ascii="Arial" w:eastAsia="华文细黑" w:hAnsi="Arial" w:hint="eastAsia"/>
                <w:b w:val="0"/>
                <w:sz w:val="21"/>
              </w:rPr>
              <w:t>个基点。</w:t>
            </w:r>
          </w:p>
          <w:p w:rsidR="00A115A1" w:rsidRPr="00471475" w:rsidRDefault="00471475" w:rsidP="00471475">
            <w:pPr>
              <w:pStyle w:val="3"/>
              <w:numPr>
                <w:ilvl w:val="0"/>
                <w:numId w:val="0"/>
              </w:numPr>
              <w:ind w:firstLineChars="200" w:firstLine="420"/>
              <w:jc w:val="left"/>
              <w:outlineLvl w:val="2"/>
              <w:rPr>
                <w:rFonts w:ascii="Arial" w:eastAsia="华文细黑" w:hAnsi="Arial"/>
                <w:b w:val="0"/>
                <w:sz w:val="21"/>
              </w:rPr>
            </w:pPr>
            <w:r w:rsidRPr="00471475">
              <w:rPr>
                <w:rFonts w:ascii="Arial" w:eastAsia="华文细黑" w:hAnsi="Arial" w:hint="eastAsia"/>
                <w:b w:val="0"/>
                <w:sz w:val="21"/>
              </w:rPr>
              <w:t>未来随着转型效果逐步显现，资产结构持续优化，负债成本较上年稳中有降，预计接下来净息差大概率稳中有升。</w:t>
            </w:r>
          </w:p>
          <w:p w:rsidR="00A115A1" w:rsidRDefault="00A115A1" w:rsidP="005E33CA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A115A1" w:rsidRPr="00CA0689" w:rsidRDefault="00A115A1" w:rsidP="00A115A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>
              <w:rPr>
                <w:rFonts w:ascii="Arial" w:eastAsia="华文细黑" w:hAnsi="Arial" w:hint="eastAsia"/>
                <w:sz w:val="21"/>
              </w:rPr>
              <w:t>存款情况及趋势</w:t>
            </w:r>
            <w:r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A115A1" w:rsidRDefault="00A115A1" w:rsidP="00A115A1">
            <w:pPr>
              <w:ind w:firstLineChars="250" w:firstLine="525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</w:t>
            </w:r>
            <w:r w:rsidR="00A1521F">
              <w:rPr>
                <w:rFonts w:ascii="Arial" w:eastAsia="华文细黑" w:hAnsi="Arial" w:hint="eastAsia"/>
                <w:sz w:val="21"/>
                <w:szCs w:val="21"/>
              </w:rPr>
              <w:t>9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3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月末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，本行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吸收存款余额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22,869.77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7.4%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存款增长整体保持平稳。其中，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个人存款余额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5,215.74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亿元、较上年末增长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13.0%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未来，本行将持续提供多元化的存款产品，提升活期存款占比，保持存款稳定增长。</w:t>
            </w:r>
          </w:p>
          <w:p w:rsidR="009E293D" w:rsidRPr="00CA0689" w:rsidRDefault="009E293D" w:rsidP="00A115A1">
            <w:pPr>
              <w:rPr>
                <w:rFonts w:ascii="Arial" w:eastAsia="华文细黑" w:hAnsi="Arial"/>
                <w:lang w:bidi="he-IL"/>
              </w:rPr>
            </w:pPr>
            <w:bookmarkStart w:id="0" w:name="_Toc464590920"/>
            <w:bookmarkStart w:id="1" w:name="_Toc464720594"/>
            <w:bookmarkStart w:id="2" w:name="_Toc464590889"/>
            <w:bookmarkStart w:id="3" w:name="_Toc464720557"/>
            <w:bookmarkStart w:id="4" w:name="_Toc448833286"/>
            <w:bookmarkStart w:id="5" w:name="_Toc458425958"/>
            <w:bookmarkStart w:id="6" w:name="_Toc464590895"/>
            <w:bookmarkStart w:id="7" w:name="_Toc464720571"/>
          </w:p>
          <w:p w:rsidR="00FD0E95" w:rsidRPr="00CA0689" w:rsidRDefault="00C87159" w:rsidP="00C87159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综合金融发展情况？</w:t>
            </w:r>
          </w:p>
          <w:p w:rsidR="00FD0E95" w:rsidRDefault="006350C6" w:rsidP="006350C6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2019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年一季度，综拓渠道迁徙客户（不含信用卡）净增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74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.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39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万户，占</w:t>
            </w:r>
            <w:r w:rsidR="00227050">
              <w:rPr>
                <w:rFonts w:ascii="Arial" w:eastAsia="华文细黑" w:hAnsi="Arial" w:hint="eastAsia"/>
                <w:bCs/>
                <w:sz w:val="21"/>
                <w:szCs w:val="21"/>
              </w:rPr>
              <w:t>比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为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34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.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2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，其中财富客户净增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2.76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万户，占</w:t>
            </w:r>
            <w:r w:rsidR="00227050">
              <w:rPr>
                <w:rFonts w:ascii="Arial" w:eastAsia="华文细黑" w:hAnsi="Arial" w:hint="eastAsia"/>
                <w:bCs/>
                <w:sz w:val="21"/>
                <w:szCs w:val="21"/>
              </w:rPr>
              <w:t>比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37.9%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；管理零售客户资产（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AUM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）余额净增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841.31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亿元，占</w:t>
            </w:r>
            <w:r w:rsidR="00227050">
              <w:rPr>
                <w:rFonts w:ascii="Arial" w:eastAsia="华文细黑" w:hAnsi="Arial" w:hint="eastAsia"/>
                <w:bCs/>
                <w:sz w:val="21"/>
                <w:szCs w:val="21"/>
              </w:rPr>
              <w:t>比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34.1%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。综拓渠道发放“新一贷”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152.36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亿元，占</w:t>
            </w:r>
            <w:r w:rsidR="00227050">
              <w:rPr>
                <w:rFonts w:ascii="Arial" w:eastAsia="华文细黑" w:hAnsi="Arial" w:hint="eastAsia"/>
                <w:bCs/>
                <w:sz w:val="21"/>
                <w:szCs w:val="21"/>
              </w:rPr>
              <w:t>比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55.03%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；发放汽融贷款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121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亿元，占比例为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37.0%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。信用卡通过交叉销售渠道发卡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112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万张，在新增发卡量中占比为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33.7%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。零售全渠道代销集团保险累计实现非利息净收入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8.7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3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亿元，同比增长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40.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6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。</w:t>
            </w:r>
            <w:bookmarkStart w:id="8" w:name="_Toc448833292"/>
          </w:p>
          <w:p w:rsidR="009E293D" w:rsidRDefault="009E293D" w:rsidP="005B3BAE">
            <w:pPr>
              <w:adjustRightInd w:val="0"/>
              <w:snapToGrid w:val="0"/>
              <w:rPr>
                <w:rFonts w:ascii="Arial" w:eastAsia="华文细黑" w:hAnsi="Arial"/>
                <w:sz w:val="21"/>
                <w:szCs w:val="21"/>
              </w:rPr>
            </w:pPr>
          </w:p>
          <w:p w:rsidR="00A115A1" w:rsidRPr="00CA0689" w:rsidRDefault="00A115A1" w:rsidP="00A115A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信用卡业务发展情况？</w:t>
            </w:r>
          </w:p>
          <w:p w:rsidR="008439B9" w:rsidRDefault="008439B9" w:rsidP="0022705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201</w:t>
            </w:r>
            <w:r w:rsidR="00A1521F">
              <w:rPr>
                <w:rFonts w:ascii="Arial" w:eastAsia="华文细黑" w:hAnsi="Arial" w:hint="eastAsia"/>
                <w:sz w:val="21"/>
                <w:szCs w:val="21"/>
              </w:rPr>
              <w:t>9</w:t>
            </w:r>
            <w:r w:rsidR="00A1521F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3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月末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，本行信用卡业务继续保持稳健增长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：</w:t>
            </w:r>
          </w:p>
          <w:p w:rsidR="008439B9" w:rsidRDefault="008439B9" w:rsidP="0022705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流通卡量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5,352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万张，较上年末增长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3.9%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8439B9" w:rsidRDefault="008439B9" w:rsidP="0022705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2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信用卡商城交易量同比增长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24.7%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8439B9" w:rsidRDefault="008439B9" w:rsidP="0022705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一季度总交易金额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8,010.30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，同比增长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43.2%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8439B9" w:rsidRDefault="008439B9" w:rsidP="0022705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lastRenderedPageBreak/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4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贷款余额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4,923.07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，较上年末增长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4.0%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C87159" w:rsidRPr="00C87159" w:rsidRDefault="00C87159" w:rsidP="005B3BAE">
            <w:pPr>
              <w:adjustRightInd w:val="0"/>
              <w:snapToGrid w:val="0"/>
              <w:rPr>
                <w:rFonts w:ascii="Arial" w:eastAsia="华文细黑" w:hAnsi="Arial"/>
                <w:sz w:val="21"/>
                <w:szCs w:val="21"/>
              </w:rPr>
            </w:pPr>
          </w:p>
          <w:p w:rsidR="00E00681" w:rsidRDefault="00A115A1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bookmarkStart w:id="9" w:name="_Toc496018961"/>
            <w:r>
              <w:rPr>
                <w:rFonts w:ascii="Arial" w:eastAsia="华文细黑" w:hAnsi="Arial" w:hint="eastAsia"/>
                <w:sz w:val="21"/>
              </w:rPr>
              <w:t>资产质量情况</w:t>
            </w:r>
            <w:r w:rsidR="009E293D"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A1521F" w:rsidRPr="00A1521F" w:rsidRDefault="00A1521F" w:rsidP="00A1521F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本行积极应对外部风险、调整业务结构，将贷款更多地投放到资产质量较好的零售业务。对公持续做精，新发放贷款聚焦重点行业、重点客户和重点产品，同时继续做好存量资产结构调整，加大问题资产清收处置力度，资产质量持续改善。</w:t>
            </w:r>
          </w:p>
          <w:p w:rsidR="00E00681" w:rsidRPr="00A1521F" w:rsidRDefault="00227050" w:rsidP="00A1521F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sz w:val="21"/>
                <w:szCs w:val="21"/>
              </w:rPr>
              <w:t>截至</w:t>
            </w:r>
            <w:r w:rsidR="00A1521F" w:rsidRPr="00A1521F">
              <w:rPr>
                <w:rFonts w:ascii="Arial" w:eastAsia="华文细黑" w:hAnsi="Arial"/>
                <w:bCs/>
                <w:sz w:val="21"/>
                <w:szCs w:val="21"/>
              </w:rPr>
              <w:t>3</w:t>
            </w:r>
            <w:r w:rsidR="00A1521F"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月末，本行逾期贷款占比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2.45%</w:t>
            </w:r>
            <w:r w:rsidR="00A1521F"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、逾期</w:t>
            </w:r>
            <w:r w:rsidR="00A1521F" w:rsidRPr="00A1521F">
              <w:rPr>
                <w:rFonts w:ascii="Arial" w:eastAsia="华文细黑" w:hAnsi="Arial"/>
                <w:bCs/>
                <w:sz w:val="21"/>
                <w:szCs w:val="21"/>
              </w:rPr>
              <w:t>90</w:t>
            </w:r>
            <w:r w:rsidR="00A1521F"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天以上贷款占比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1.66%</w:t>
            </w:r>
            <w:r w:rsidR="00A1521F"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、关注率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2.58%</w:t>
            </w:r>
            <w:r w:rsidR="00A1521F"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和不良率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1.73%</w:t>
            </w:r>
            <w:r w:rsidR="00A1521F"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较上年末均有下降，偏离度低于</w:t>
            </w:r>
            <w:r w:rsidR="00A1521F" w:rsidRPr="00A1521F">
              <w:rPr>
                <w:rFonts w:ascii="Arial" w:eastAsia="华文细黑" w:hAnsi="Arial"/>
                <w:bCs/>
                <w:sz w:val="21"/>
                <w:szCs w:val="21"/>
              </w:rPr>
              <w:t>1</w:t>
            </w:r>
            <w:r w:rsidR="00A1521F"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。</w:t>
            </w:r>
          </w:p>
          <w:p w:rsidR="00AA5A95" w:rsidRPr="00CA0689" w:rsidRDefault="00AA5A95" w:rsidP="005B3BAE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/>
                <w:sz w:val="21"/>
                <w:szCs w:val="21"/>
                <w:lang w:eastAsia="zh-CN"/>
              </w:rPr>
            </w:pPr>
            <w:bookmarkStart w:id="10" w:name="_GoBack"/>
            <w:bookmarkEnd w:id="0"/>
            <w:bookmarkEnd w:id="1"/>
            <w:bookmarkEnd w:id="8"/>
            <w:bookmarkEnd w:id="9"/>
            <w:bookmarkEnd w:id="10"/>
          </w:p>
          <w:p w:rsidR="00C21A8C" w:rsidRPr="00CA0689" w:rsidRDefault="009E293D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拨备覆盖率</w:t>
            </w:r>
            <w:r w:rsidR="00A115A1">
              <w:rPr>
                <w:rFonts w:ascii="Arial" w:eastAsia="华文细黑" w:hAnsi="Arial" w:hint="eastAsia"/>
                <w:sz w:val="21"/>
              </w:rPr>
              <w:t>情况</w:t>
            </w:r>
            <w:r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C21A8C" w:rsidRPr="00CA0689" w:rsidRDefault="00227050" w:rsidP="009E293D">
            <w:pPr>
              <w:adjustRightInd w:val="0"/>
              <w:snapToGrid w:val="0"/>
              <w:ind w:firstLineChars="200" w:firstLine="420"/>
              <w:rPr>
                <w:rStyle w:val="a8"/>
                <w:rFonts w:ascii="Arial" w:eastAsia="华文细黑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截至</w:t>
            </w:r>
            <w:r w:rsidR="00A1521F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="00A1521F">
              <w:rPr>
                <w:rFonts w:ascii="Arial" w:eastAsia="华文细黑" w:hAnsi="Arial" w:hint="eastAsia"/>
                <w:sz w:val="21"/>
                <w:szCs w:val="21"/>
              </w:rPr>
              <w:t>月末</w:t>
            </w:r>
            <w:r w:rsidR="00A115A1" w:rsidRPr="009E293D">
              <w:rPr>
                <w:rFonts w:ascii="Arial" w:eastAsia="华文细黑" w:hAnsi="Arial" w:hint="eastAsia"/>
                <w:sz w:val="21"/>
                <w:szCs w:val="21"/>
              </w:rPr>
              <w:t>，</w:t>
            </w:r>
            <w:r w:rsidR="00A1521F">
              <w:rPr>
                <w:rFonts w:ascii="Arial" w:eastAsia="华文细黑" w:hAnsi="Arial" w:hint="eastAsia"/>
                <w:sz w:val="21"/>
                <w:szCs w:val="21"/>
              </w:rPr>
              <w:t>本行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贷款减值准备余额为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604.08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11.5%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；拨贷比为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2.94%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，较上年末增加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0.23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个百分点；拨备覆盖率为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170.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59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%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、较上年末增加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15.3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5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个百分点，逾期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90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天以上贷款拨备覆盖率为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177.7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%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、较上年末增加</w:t>
            </w:r>
            <w:r w:rsidR="00A1521F" w:rsidRPr="00A1521F">
              <w:rPr>
                <w:rFonts w:ascii="Arial" w:eastAsia="华文细黑" w:hAnsi="Arial"/>
                <w:sz w:val="21"/>
                <w:szCs w:val="21"/>
              </w:rPr>
              <w:t>18.2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="00A1521F" w:rsidRPr="00A1521F">
              <w:rPr>
                <w:rFonts w:ascii="Arial" w:eastAsia="华文细黑" w:hAnsi="Arial" w:hint="eastAsia"/>
                <w:sz w:val="21"/>
                <w:szCs w:val="21"/>
              </w:rPr>
              <w:t>个百分点，风险抵补能力进一步增强。</w:t>
            </w:r>
            <w:r w:rsidR="00A115A1">
              <w:rPr>
                <w:rFonts w:ascii="Arial" w:eastAsia="华文细黑" w:hAnsi="Arial" w:hint="eastAsia"/>
                <w:sz w:val="21"/>
                <w:szCs w:val="21"/>
              </w:rPr>
              <w:t>未来将</w:t>
            </w:r>
            <w:r w:rsidR="00A1521F">
              <w:rPr>
                <w:rFonts w:ascii="Arial" w:eastAsia="华文细黑" w:hAnsi="Arial" w:hint="eastAsia"/>
                <w:sz w:val="21"/>
                <w:szCs w:val="21"/>
              </w:rPr>
              <w:t>继续</w:t>
            </w:r>
            <w:r w:rsidR="00A115A1">
              <w:rPr>
                <w:rFonts w:ascii="Arial" w:eastAsia="华文细黑" w:hAnsi="Arial" w:hint="eastAsia"/>
                <w:sz w:val="21"/>
                <w:szCs w:val="21"/>
              </w:rPr>
              <w:t>通过各种措施不断提升拨备增强风险抵御能力</w:t>
            </w:r>
            <w:r w:rsidR="00A115A1" w:rsidRPr="009E293D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E00681" w:rsidRDefault="00E00681" w:rsidP="005B3BAE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/>
                <w:sz w:val="21"/>
                <w:szCs w:val="21"/>
                <w:lang w:val="en-US" w:eastAsia="zh-CN"/>
              </w:rPr>
            </w:pPr>
          </w:p>
          <w:p w:rsidR="00C87159" w:rsidRPr="00CA0689" w:rsidRDefault="00C87159" w:rsidP="00C87159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理财子公司进展？</w:t>
            </w:r>
          </w:p>
          <w:p w:rsidR="00C87159" w:rsidRPr="00A115A1" w:rsidRDefault="00A115A1" w:rsidP="00A115A1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月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日，本行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董事会已提交通了《关于设立资产管理子公司的议案》，目前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尚需监管机构的批准。</w:t>
            </w:r>
          </w:p>
          <w:bookmarkEnd w:id="2"/>
          <w:bookmarkEnd w:id="3"/>
          <w:bookmarkEnd w:id="4"/>
          <w:bookmarkEnd w:id="5"/>
          <w:bookmarkEnd w:id="6"/>
          <w:bookmarkEnd w:id="7"/>
          <w:p w:rsidR="008B3EDE" w:rsidRDefault="008B3EDE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A115A1" w:rsidRPr="00CA0689" w:rsidRDefault="00A115A1" w:rsidP="00A115A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投行业务</w:t>
            </w:r>
            <w:r>
              <w:rPr>
                <w:rFonts w:ascii="Arial" w:eastAsia="华文细黑" w:hAnsi="Arial" w:hint="eastAsia"/>
                <w:sz w:val="21"/>
              </w:rPr>
              <w:t>未来</w:t>
            </w:r>
            <w:r w:rsidRPr="009E293D">
              <w:rPr>
                <w:rFonts w:ascii="Arial" w:eastAsia="华文细黑" w:hAnsi="Arial" w:hint="eastAsia"/>
                <w:sz w:val="21"/>
              </w:rPr>
              <w:t>发展情况？</w:t>
            </w:r>
          </w:p>
          <w:p w:rsidR="00A115A1" w:rsidRDefault="00A1521F" w:rsidP="00A1521F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本行积极推动真投行转型和轻型融资能力建设，发力债券承销、理财直融工具等领域，满足客户融资需求。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2019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年一季度，经银保监会注册发行的理财直融产品承销规模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197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亿元，市场发行份额排名位居前列。</w:t>
            </w:r>
          </w:p>
          <w:p w:rsidR="00A115A1" w:rsidRDefault="00A115A1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442349" w:rsidRPr="00CA0689" w:rsidRDefault="00442349" w:rsidP="00442349">
            <w:pPr>
              <w:pStyle w:val="3"/>
              <w:outlineLvl w:val="2"/>
              <w:rPr>
                <w:rFonts w:ascii="Arial" w:eastAsia="华文细黑" w:hAnsi="Arial"/>
                <w:lang w:eastAsia="zh-TW"/>
              </w:rPr>
            </w:pPr>
            <w:r w:rsidRPr="009E293D">
              <w:rPr>
                <w:rFonts w:ascii="Arial" w:eastAsia="华文细黑" w:hAnsi="Arial" w:hint="eastAsia"/>
                <w:lang w:eastAsia="zh-TW"/>
              </w:rPr>
              <w:t>科技的投入和成果如何</w:t>
            </w:r>
            <w:r>
              <w:rPr>
                <w:rFonts w:ascii="Arial" w:eastAsia="华文细黑" w:hAnsi="Arial" w:hint="eastAsia"/>
                <w:lang w:eastAsia="zh-TW"/>
              </w:rPr>
              <w:t>？</w:t>
            </w:r>
          </w:p>
          <w:p w:rsidR="00442349" w:rsidRDefault="00442349" w:rsidP="00442349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本行将“科技引领”作为全行首要发展战略方针。科技投入方面，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年，本行科技投入大幅增加，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IT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资本性支出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25.75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亿元、同比增长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82%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442349" w:rsidRDefault="00442349" w:rsidP="00442349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科技治理方面，本行制定了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IT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三年（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2019-2021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）发展规划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442349" w:rsidRDefault="00442349" w:rsidP="00442349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科技创新方面，依托平安集团在人工智能、区块链、云计算等领域的核心技术和资源，利用新技术赋能业务，持续提升客户体验、丰富金融产品、创新业务模式、完善风控体系、优化运营效率、促进智慧管理。“科技引领”推动战略转型已初见成效。</w:t>
            </w:r>
          </w:p>
          <w:p w:rsidR="00442349" w:rsidRDefault="00442349" w:rsidP="005B3BAE">
            <w:pPr>
              <w:snapToGrid w:val="0"/>
              <w:spacing w:afterLines="20" w:after="62"/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</w:pPr>
          </w:p>
          <w:p w:rsidR="005E33CA" w:rsidRPr="00E00681" w:rsidRDefault="005E33CA" w:rsidP="005E33CA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DA02F5">
              <w:rPr>
                <w:rFonts w:ascii="Arial" w:eastAsia="华文细黑" w:hAnsi="Arial" w:hint="eastAsia"/>
                <w:sz w:val="21"/>
              </w:rPr>
              <w:t>现在集团的</w:t>
            </w:r>
            <w:r w:rsidRPr="00DA02F5">
              <w:rPr>
                <w:rFonts w:ascii="Arial" w:eastAsia="华文细黑" w:hAnsi="Arial" w:hint="eastAsia"/>
                <w:sz w:val="21"/>
              </w:rPr>
              <w:t>1.</w:t>
            </w:r>
            <w:r>
              <w:rPr>
                <w:rFonts w:ascii="Arial" w:eastAsia="华文细黑" w:hAnsi="Arial" w:hint="eastAsia"/>
                <w:sz w:val="21"/>
              </w:rPr>
              <w:t>8</w:t>
            </w:r>
            <w:r w:rsidRPr="00DA02F5">
              <w:rPr>
                <w:rFonts w:ascii="Arial" w:eastAsia="华文细黑" w:hAnsi="Arial" w:hint="eastAsia"/>
                <w:sz w:val="21"/>
              </w:rPr>
              <w:t>亿客户未来是否都能变成银行客户</w:t>
            </w:r>
          </w:p>
          <w:p w:rsidR="005E33CA" w:rsidRPr="00DA02F5" w:rsidRDefault="005E33CA" w:rsidP="005E33CA">
            <w:pPr>
              <w:adjustRightInd w:val="0"/>
              <w:snapToGrid w:val="0"/>
              <w:ind w:firstLineChars="150" w:firstLine="315"/>
              <w:rPr>
                <w:rFonts w:ascii="Arial" w:eastAsia="华文细黑" w:hAnsi="Arial"/>
                <w:sz w:val="21"/>
                <w:szCs w:val="21"/>
              </w:rPr>
            </w:pPr>
            <w:r w:rsidRPr="00DA02F5">
              <w:rPr>
                <w:rFonts w:ascii="Arial" w:eastAsia="华文细黑" w:hAnsi="Arial" w:hint="eastAsia"/>
                <w:sz w:val="21"/>
                <w:szCs w:val="21"/>
              </w:rPr>
              <w:t>全部转换是不可能的。我们要创造好的服务和场景，争取尽可能多的转化。</w:t>
            </w:r>
          </w:p>
          <w:p w:rsidR="005E33CA" w:rsidRPr="00A115A1" w:rsidRDefault="005E33CA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A115A1" w:rsidRPr="00CA0689" w:rsidRDefault="00A115A1" w:rsidP="00A115A1">
            <w:pPr>
              <w:pStyle w:val="3"/>
              <w:outlineLvl w:val="2"/>
              <w:rPr>
                <w:rFonts w:ascii="Arial" w:eastAsia="华文细黑" w:hAnsi="Arial"/>
                <w:lang w:eastAsia="zh-TW"/>
              </w:rPr>
            </w:pPr>
            <w:r>
              <w:rPr>
                <w:rFonts w:ascii="Arial" w:eastAsia="华文细黑" w:hAnsi="Arial" w:hint="eastAsia"/>
              </w:rPr>
              <w:t>贵行</w:t>
            </w:r>
            <w:r w:rsidRPr="00C87159">
              <w:rPr>
                <w:rFonts w:ascii="Arial" w:eastAsia="华文细黑" w:hAnsi="Arial" w:hint="eastAsia"/>
                <w:lang w:eastAsia="zh-TW"/>
              </w:rPr>
              <w:t>发行可转债后，资本充足率情况？</w:t>
            </w:r>
          </w:p>
          <w:p w:rsidR="00A115A1" w:rsidRDefault="00A1521F" w:rsidP="00A1521F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月末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，本行核心一级资本充足率、一级资本充足率及资本充足率分别为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8.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77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%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，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9.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61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%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及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11.5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2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%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，均满足监管达标要求，较上年末分别提高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0.26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、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0.21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及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0.30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个百分点。本行已于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月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25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日完成了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260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A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股可转换公司债券的发行，其中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37</w:t>
            </w:r>
            <w:r w:rsidR="00A115A1" w:rsidRPr="00C87159">
              <w:rPr>
                <w:rFonts w:ascii="Arial" w:eastAsia="华文细黑" w:hAnsi="Arial" w:hint="eastAsia"/>
                <w:sz w:val="21"/>
                <w:szCs w:val="21"/>
              </w:rPr>
              <w:t>亿元权益部分直接计入核心一级资本，其余部分将于转股后陆续补充本行核心一级资本，进一步提高资本充足水平。</w:t>
            </w:r>
          </w:p>
          <w:p w:rsidR="00A115A1" w:rsidRDefault="00A115A1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A115A1" w:rsidRDefault="00A115A1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A115A1" w:rsidRPr="00A115A1" w:rsidRDefault="00A115A1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CC12EA" w:rsidRPr="00CA0689" w:rsidRDefault="00A140B8" w:rsidP="00E00681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  <w:lang w:val="zh-TW"/>
              </w:rPr>
            </w:pPr>
            <w:r w:rsidRPr="00CA0689">
              <w:rPr>
                <w:rStyle w:val="a8"/>
                <w:rFonts w:ascii="Arial" w:eastAsia="华文细黑" w:hAnsi="Arial" w:hint="eastAsia"/>
                <w:sz w:val="21"/>
                <w:szCs w:val="21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350C6" w:rsidP="00C21A8C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2019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一季度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业绩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PPT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（请参见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bank.pingan.com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投资者关系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-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公司推介栏目）</w:t>
            </w:r>
          </w:p>
        </w:tc>
      </w:tr>
      <w:tr w:rsidR="00EE1C10" w:rsidRPr="00CA0689" w:rsidTr="00C21A8C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350C6" w:rsidP="00C87159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7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4</w:t>
            </w:r>
          </w:p>
        </w:tc>
      </w:tr>
    </w:tbl>
    <w:p w:rsidR="00941F1C" w:rsidRPr="00CA0689" w:rsidRDefault="00941F1C" w:rsidP="00862CF2">
      <w:pPr>
        <w:rPr>
          <w:rFonts w:ascii="Arial" w:eastAsia="华文细黑" w:hAnsi="Arial"/>
          <w:szCs w:val="21"/>
        </w:rPr>
      </w:pPr>
    </w:p>
    <w:sectPr w:rsidR="00941F1C" w:rsidRPr="00CA0689" w:rsidSect="004940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94" w:rsidRDefault="009C4894" w:rsidP="00D96584">
      <w:r>
        <w:separator/>
      </w:r>
    </w:p>
  </w:endnote>
  <w:endnote w:type="continuationSeparator" w:id="0">
    <w:p w:rsidR="009C4894" w:rsidRDefault="009C4894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94" w:rsidRDefault="009C4894" w:rsidP="00D96584">
      <w:r>
        <w:separator/>
      </w:r>
    </w:p>
  </w:footnote>
  <w:footnote w:type="continuationSeparator" w:id="0">
    <w:p w:rsidR="009C4894" w:rsidRDefault="009C4894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304D8B"/>
    <w:multiLevelType w:val="multilevel"/>
    <w:tmpl w:val="E29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757A4"/>
    <w:multiLevelType w:val="hybridMultilevel"/>
    <w:tmpl w:val="1BB09DFC"/>
    <w:lvl w:ilvl="0" w:tplc="A3E4D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7D63B9"/>
    <w:multiLevelType w:val="hybridMultilevel"/>
    <w:tmpl w:val="E3E0A0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8AC1786"/>
    <w:multiLevelType w:val="hybridMultilevel"/>
    <w:tmpl w:val="29CCDE1C"/>
    <w:lvl w:ilvl="0" w:tplc="015C8DD2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2A8031BB"/>
    <w:multiLevelType w:val="hybridMultilevel"/>
    <w:tmpl w:val="2E04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BF1A32"/>
    <w:multiLevelType w:val="hybridMultilevel"/>
    <w:tmpl w:val="8D9E8B94"/>
    <w:lvl w:ilvl="0" w:tplc="62143354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35D16322"/>
    <w:multiLevelType w:val="hybridMultilevel"/>
    <w:tmpl w:val="FBCEA6A2"/>
    <w:lvl w:ilvl="0" w:tplc="419EDC28">
      <w:start w:val="1"/>
      <w:numFmt w:val="decimal"/>
      <w:pStyle w:val="3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8C92885"/>
    <w:multiLevelType w:val="hybridMultilevel"/>
    <w:tmpl w:val="3BC8B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D51C9B"/>
    <w:multiLevelType w:val="hybridMultilevel"/>
    <w:tmpl w:val="1AD83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8D7EF7"/>
    <w:multiLevelType w:val="hybridMultilevel"/>
    <w:tmpl w:val="C87CB43A"/>
    <w:lvl w:ilvl="0" w:tplc="E4F647EE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E624B2"/>
    <w:multiLevelType w:val="hybridMultilevel"/>
    <w:tmpl w:val="C51C5F94"/>
    <w:lvl w:ilvl="0" w:tplc="14B84E06">
      <w:start w:val="3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C23F02"/>
    <w:multiLevelType w:val="hybridMultilevel"/>
    <w:tmpl w:val="64C8DC7A"/>
    <w:lvl w:ilvl="0" w:tplc="761231E8">
      <w:start w:val="1"/>
      <w:numFmt w:val="decimal"/>
      <w:pStyle w:val="30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B7F6B72"/>
    <w:multiLevelType w:val="hybridMultilevel"/>
    <w:tmpl w:val="2524439C"/>
    <w:lvl w:ilvl="0" w:tplc="24D0BD9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20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602A7B66"/>
    <w:multiLevelType w:val="multilevel"/>
    <w:tmpl w:val="97AAD274"/>
    <w:lvl w:ilvl="0">
      <w:start w:val="2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>
    <w:nsid w:val="666C0CB7"/>
    <w:multiLevelType w:val="hybridMultilevel"/>
    <w:tmpl w:val="86B2FF9C"/>
    <w:lvl w:ilvl="0" w:tplc="BF780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74750563"/>
    <w:multiLevelType w:val="hybridMultilevel"/>
    <w:tmpl w:val="98742676"/>
    <w:lvl w:ilvl="0" w:tplc="04090001">
      <w:start w:val="1"/>
      <w:numFmt w:val="bullet"/>
      <w:lvlText w:val=""/>
      <w:lvlJc w:val="left"/>
      <w:pPr>
        <w:ind w:left="8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5">
    <w:nsid w:val="75144018"/>
    <w:multiLevelType w:val="hybridMultilevel"/>
    <w:tmpl w:val="23AE4E20"/>
    <w:lvl w:ilvl="0" w:tplc="D37AAD48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>
    <w:nsid w:val="7530778C"/>
    <w:multiLevelType w:val="hybridMultilevel"/>
    <w:tmpl w:val="149C09E0"/>
    <w:lvl w:ilvl="0" w:tplc="04090001">
      <w:start w:val="1"/>
      <w:numFmt w:val="bullet"/>
      <w:lvlText w:val=""/>
      <w:lvlJc w:val="left"/>
      <w:pPr>
        <w:ind w:left="7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4" w:hanging="420"/>
      </w:pPr>
      <w:rPr>
        <w:rFonts w:ascii="Wingdings" w:hAnsi="Wingdings" w:hint="default"/>
      </w:rPr>
    </w:lvl>
  </w:abstractNum>
  <w:abstractNum w:abstractNumId="27">
    <w:nsid w:val="7D2420E2"/>
    <w:multiLevelType w:val="hybridMultilevel"/>
    <w:tmpl w:val="3E709AA6"/>
    <w:lvl w:ilvl="0" w:tplc="1CE0452C">
      <w:start w:val="1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21"/>
  </w:num>
  <w:num w:numId="13">
    <w:abstractNumId w:val="8"/>
  </w:num>
  <w:num w:numId="14">
    <w:abstractNumId w:val="27"/>
  </w:num>
  <w:num w:numId="15">
    <w:abstractNumId w:val="16"/>
  </w:num>
  <w:num w:numId="16">
    <w:abstractNumId w:val="17"/>
  </w:num>
  <w:num w:numId="17">
    <w:abstractNumId w:val="14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10"/>
  </w:num>
  <w:num w:numId="23">
    <w:abstractNumId w:val="11"/>
  </w:num>
  <w:num w:numId="24">
    <w:abstractNumId w:val="24"/>
  </w:num>
  <w:num w:numId="25">
    <w:abstractNumId w:val="26"/>
  </w:num>
  <w:num w:numId="26">
    <w:abstractNumId w:val="13"/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3"/>
  </w:num>
  <w:num w:numId="32">
    <w:abstractNumId w:val="4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0"/>
    <w:rsid w:val="00043512"/>
    <w:rsid w:val="0005090F"/>
    <w:rsid w:val="00083D6A"/>
    <w:rsid w:val="000A2DF8"/>
    <w:rsid w:val="000B3693"/>
    <w:rsid w:val="000B41B6"/>
    <w:rsid w:val="00101C48"/>
    <w:rsid w:val="00130F3C"/>
    <w:rsid w:val="001434EB"/>
    <w:rsid w:val="001516B8"/>
    <w:rsid w:val="0015535F"/>
    <w:rsid w:val="00161A96"/>
    <w:rsid w:val="00197FFA"/>
    <w:rsid w:val="001B33AC"/>
    <w:rsid w:val="001B72DE"/>
    <w:rsid w:val="001C10A8"/>
    <w:rsid w:val="001C4C8A"/>
    <w:rsid w:val="001D2529"/>
    <w:rsid w:val="001D5474"/>
    <w:rsid w:val="001E2C63"/>
    <w:rsid w:val="00210939"/>
    <w:rsid w:val="00217D1A"/>
    <w:rsid w:val="00227050"/>
    <w:rsid w:val="002515C0"/>
    <w:rsid w:val="002721F3"/>
    <w:rsid w:val="002B200E"/>
    <w:rsid w:val="002B4EAA"/>
    <w:rsid w:val="002B5D00"/>
    <w:rsid w:val="003317E5"/>
    <w:rsid w:val="00354883"/>
    <w:rsid w:val="00375010"/>
    <w:rsid w:val="003777D5"/>
    <w:rsid w:val="003B107D"/>
    <w:rsid w:val="003B721F"/>
    <w:rsid w:val="003C375D"/>
    <w:rsid w:val="003C42A4"/>
    <w:rsid w:val="003F144D"/>
    <w:rsid w:val="003F79D6"/>
    <w:rsid w:val="00413B4B"/>
    <w:rsid w:val="0043629D"/>
    <w:rsid w:val="00442349"/>
    <w:rsid w:val="0045059E"/>
    <w:rsid w:val="00461C9C"/>
    <w:rsid w:val="00471475"/>
    <w:rsid w:val="0049405C"/>
    <w:rsid w:val="00497C7E"/>
    <w:rsid w:val="004B47B1"/>
    <w:rsid w:val="004F6F03"/>
    <w:rsid w:val="00511122"/>
    <w:rsid w:val="0051123B"/>
    <w:rsid w:val="00535D6F"/>
    <w:rsid w:val="005464C3"/>
    <w:rsid w:val="00550FD9"/>
    <w:rsid w:val="005B3BAE"/>
    <w:rsid w:val="005E33CA"/>
    <w:rsid w:val="00622C3A"/>
    <w:rsid w:val="00623A26"/>
    <w:rsid w:val="0063326E"/>
    <w:rsid w:val="006350C6"/>
    <w:rsid w:val="00684A13"/>
    <w:rsid w:val="006A1753"/>
    <w:rsid w:val="006A7B25"/>
    <w:rsid w:val="006B0B04"/>
    <w:rsid w:val="006C5210"/>
    <w:rsid w:val="006E4D55"/>
    <w:rsid w:val="006F64B3"/>
    <w:rsid w:val="00740C1A"/>
    <w:rsid w:val="00761259"/>
    <w:rsid w:val="00777BC7"/>
    <w:rsid w:val="00793203"/>
    <w:rsid w:val="007C213F"/>
    <w:rsid w:val="00803207"/>
    <w:rsid w:val="0082259D"/>
    <w:rsid w:val="008439B9"/>
    <w:rsid w:val="00845B88"/>
    <w:rsid w:val="00853994"/>
    <w:rsid w:val="00862CF2"/>
    <w:rsid w:val="008710F9"/>
    <w:rsid w:val="00880699"/>
    <w:rsid w:val="0089673B"/>
    <w:rsid w:val="008A4E3E"/>
    <w:rsid w:val="008B3EDE"/>
    <w:rsid w:val="008C111F"/>
    <w:rsid w:val="008F16A2"/>
    <w:rsid w:val="00921892"/>
    <w:rsid w:val="00930952"/>
    <w:rsid w:val="00941F1C"/>
    <w:rsid w:val="00951547"/>
    <w:rsid w:val="009C4894"/>
    <w:rsid w:val="009C5679"/>
    <w:rsid w:val="009E293D"/>
    <w:rsid w:val="009F13CD"/>
    <w:rsid w:val="00A06B39"/>
    <w:rsid w:val="00A115A1"/>
    <w:rsid w:val="00A140B8"/>
    <w:rsid w:val="00A1521F"/>
    <w:rsid w:val="00A87A56"/>
    <w:rsid w:val="00AA5A95"/>
    <w:rsid w:val="00AB47CE"/>
    <w:rsid w:val="00AB67BB"/>
    <w:rsid w:val="00B17ECB"/>
    <w:rsid w:val="00B31C4E"/>
    <w:rsid w:val="00B454CA"/>
    <w:rsid w:val="00B65391"/>
    <w:rsid w:val="00B708D6"/>
    <w:rsid w:val="00B71E2E"/>
    <w:rsid w:val="00B84A84"/>
    <w:rsid w:val="00BB741D"/>
    <w:rsid w:val="00BE11BC"/>
    <w:rsid w:val="00BE3743"/>
    <w:rsid w:val="00C12E89"/>
    <w:rsid w:val="00C21A8C"/>
    <w:rsid w:val="00C30CA5"/>
    <w:rsid w:val="00C35BCB"/>
    <w:rsid w:val="00C51768"/>
    <w:rsid w:val="00C81677"/>
    <w:rsid w:val="00C87159"/>
    <w:rsid w:val="00CA0689"/>
    <w:rsid w:val="00CA1629"/>
    <w:rsid w:val="00CB4AC9"/>
    <w:rsid w:val="00CC12EA"/>
    <w:rsid w:val="00CF7823"/>
    <w:rsid w:val="00D03DFD"/>
    <w:rsid w:val="00D06801"/>
    <w:rsid w:val="00D302B7"/>
    <w:rsid w:val="00D50045"/>
    <w:rsid w:val="00D87038"/>
    <w:rsid w:val="00D91B1B"/>
    <w:rsid w:val="00D96584"/>
    <w:rsid w:val="00DC7C3C"/>
    <w:rsid w:val="00DD1E65"/>
    <w:rsid w:val="00DE4B3F"/>
    <w:rsid w:val="00E00681"/>
    <w:rsid w:val="00E055AC"/>
    <w:rsid w:val="00E1525A"/>
    <w:rsid w:val="00E37317"/>
    <w:rsid w:val="00E50C4A"/>
    <w:rsid w:val="00E733AB"/>
    <w:rsid w:val="00EE1C10"/>
    <w:rsid w:val="00EE4F68"/>
    <w:rsid w:val="00EE7C01"/>
    <w:rsid w:val="00F16F75"/>
    <w:rsid w:val="00F628CA"/>
    <w:rsid w:val="00F66AD9"/>
    <w:rsid w:val="00FA1FC9"/>
    <w:rsid w:val="00FA7D26"/>
    <w:rsid w:val="00FC32FA"/>
    <w:rsid w:val="00FD0E95"/>
    <w:rsid w:val="00FE093E"/>
    <w:rsid w:val="00FE4AFD"/>
    <w:rsid w:val="00FF0263"/>
    <w:rsid w:val="00FF42D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26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4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 w:val="24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26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4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 w:val="24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325</Words>
  <Characters>1854</Characters>
  <Application>Microsoft Office Word</Application>
  <DocSecurity>0</DocSecurity>
  <Lines>15</Lines>
  <Paragraphs>4</Paragraphs>
  <ScaleCrop>false</ScaleCrop>
  <Company>sdb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Gao</dc:creator>
  <cp:lastModifiedBy>李稀真</cp:lastModifiedBy>
  <cp:revision>9</cp:revision>
  <dcterms:created xsi:type="dcterms:W3CDTF">2019-04-17T06:59:00Z</dcterms:created>
  <dcterms:modified xsi:type="dcterms:W3CDTF">2019-08-01T01:47:00Z</dcterms:modified>
</cp:coreProperties>
</file>