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CA0689" w:rsidRDefault="00EE1C10" w:rsidP="00E055AC">
      <w:pPr>
        <w:spacing w:beforeLines="50" w:before="156" w:afterLines="50" w:after="156"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证券代码：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000001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证券简称：</w:t>
      </w:r>
      <w:r w:rsidR="00D96584" w:rsidRPr="00CA0689">
        <w:rPr>
          <w:rFonts w:ascii="Arial" w:eastAsia="华文细黑" w:hAnsi="Arial" w:hint="eastAsia"/>
          <w:bCs/>
          <w:iCs/>
          <w:color w:val="000000"/>
          <w:szCs w:val="21"/>
        </w:rPr>
        <w:t>平安银行</w:t>
      </w:r>
    </w:p>
    <w:p w:rsidR="00EE1C10" w:rsidRPr="00CA0689" w:rsidRDefault="003317E5" w:rsidP="00E055AC">
      <w:pPr>
        <w:spacing w:beforeLines="50" w:before="156" w:afterLines="50" w:after="156" w:line="400" w:lineRule="exact"/>
        <w:jc w:val="center"/>
        <w:rPr>
          <w:rFonts w:ascii="Arial" w:eastAsia="华文细黑" w:hAnsi="Arial"/>
          <w:b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CA0689" w:rsidRDefault="00EE1C10" w:rsidP="00EE1C10">
      <w:pPr>
        <w:spacing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                       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9E293D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特定对象调研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</w:t>
            </w:r>
            <w:r w:rsidR="00EE1C1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分析师会议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媒体采访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  </w:t>
            </w:r>
            <w:r w:rsidR="00FF0263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业绩说明会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新闻发布会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</w:t>
            </w:r>
            <w:r w:rsidR="00D87038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路演活动</w:t>
            </w:r>
          </w:p>
          <w:p w:rsidR="00EE1C10" w:rsidRPr="00CA0689" w:rsidRDefault="00EE1C10" w:rsidP="005B3BAE">
            <w:pPr>
              <w:tabs>
                <w:tab w:val="left" w:pos="3045"/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现场参观</w:t>
            </w:r>
          </w:p>
          <w:p w:rsidR="00EE1C10" w:rsidRPr="00CA0689" w:rsidRDefault="009E293D" w:rsidP="005B3BAE">
            <w:pPr>
              <w:tabs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其他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>（投行会议）</w:t>
            </w:r>
          </w:p>
        </w:tc>
      </w:tr>
      <w:tr w:rsidR="00EE1C10" w:rsidRPr="00CA0689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C0477A" w:rsidP="0085399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摩根士丹利</w:t>
            </w:r>
          </w:p>
        </w:tc>
      </w:tr>
      <w:tr w:rsidR="00EE1C10" w:rsidRPr="00CA0689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3629D" w:rsidP="00C0477A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C0477A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C0477A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31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CA0689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2E5EDB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北京</w:t>
            </w:r>
          </w:p>
        </w:tc>
      </w:tr>
      <w:tr w:rsidR="00EE1C10" w:rsidRPr="00CA0689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B93810" w:rsidP="002721F3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成建新</w:t>
            </w:r>
            <w:r w:rsidR="002E5EDB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="002515C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董事会办公室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2721F3" w:rsidRPr="00CA0689" w:rsidRDefault="002721F3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3F144D" w:rsidRPr="00CA0689" w:rsidRDefault="003F144D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A0689">
              <w:rPr>
                <w:rFonts w:ascii="Arial" w:eastAsia="华文细黑" w:hAnsi="Arial" w:hint="eastAsia"/>
                <w:sz w:val="21"/>
              </w:rPr>
              <w:t>平安银行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的发展战略？</w:t>
            </w:r>
          </w:p>
          <w:p w:rsidR="003F144D" w:rsidRDefault="009E293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本行将积极响应国家战略，顺应国际国内经济金融形势，进一步深化“科技引领、零售突破、对公做精”策略方针，进一步加强对民营企业、小微企业的支持力度，进一步提升服务实体经济的能力。具体来说：一是推进“行业银行”转型，提升服务实体经济能力；二是加强科技赋能，加大民营企业、小微企业支持力度；三是积极拥抱变化，寻找“生态圈”动能；四是严守合规底线，加强风险管控。</w:t>
            </w:r>
          </w:p>
          <w:p w:rsidR="009E293D" w:rsidRDefault="009E293D" w:rsidP="009E293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</w:p>
          <w:p w:rsidR="003F144D" w:rsidRPr="00CA0689" w:rsidRDefault="009E293D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对公业务</w:t>
            </w:r>
            <w:r w:rsidRPr="009E293D">
              <w:rPr>
                <w:rFonts w:ascii="Arial" w:eastAsia="华文细黑" w:hAnsi="Arial" w:hint="eastAsia"/>
                <w:sz w:val="21"/>
              </w:rPr>
              <w:t>2019</w:t>
            </w:r>
            <w:r>
              <w:rPr>
                <w:rFonts w:ascii="Arial" w:eastAsia="华文细黑" w:hAnsi="Arial" w:hint="eastAsia"/>
                <w:sz w:val="21"/>
              </w:rPr>
              <w:t>年能否有所增长</w:t>
            </w:r>
            <w:r w:rsidR="003F144D" w:rsidRPr="00CA0689">
              <w:rPr>
                <w:rFonts w:ascii="Arial" w:eastAsia="华文细黑" w:hAnsi="Arial" w:hint="eastAsia"/>
                <w:sz w:val="21"/>
              </w:rPr>
              <w:t>？</w:t>
            </w:r>
          </w:p>
          <w:p w:rsidR="00C0477A" w:rsidRPr="00C0477A" w:rsidRDefault="00C0477A" w:rsidP="00C0477A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年本行公司业务按照对公做精的战略要求，借助科技手段持续打造智能化精品公司银行，努力实现在行业、客户、科技、协同四个方面的突破。具体来说，公司业务聚焦行业，以行业化、场景化模式推进集成营销；聚焦客户，在目标行业内精选客群，为客户提供系统的、智能的管理平台；聚焦科技，将智能与科技的基因融入业务的每个细胞，运用区块链、物联网等技术成果，实现业务升级；聚焦协同，利用集团综合金融优势，成为集团团体综合金融的发动机。</w:t>
            </w:r>
          </w:p>
          <w:p w:rsidR="004F6F03" w:rsidRDefault="00C0477A" w:rsidP="00C0477A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lastRenderedPageBreak/>
              <w:t>2019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年一季度，对公精品业务打造成效初显，截至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月末企业存款余额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17,654.03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5.9%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。存款增长得益于支付结算及供应链金融平台的打造，稳定了对公的基础客群。</w:t>
            </w:r>
          </w:p>
          <w:p w:rsidR="009E293D" w:rsidRDefault="009E293D" w:rsidP="005B3BAE">
            <w:pPr>
              <w:adjustRightInd w:val="0"/>
              <w:snapToGrid w:val="0"/>
              <w:rPr>
                <w:rFonts w:ascii="Arial" w:eastAsia="华文细黑" w:hAnsi="Arial"/>
                <w:sz w:val="21"/>
                <w:szCs w:val="21"/>
              </w:rPr>
            </w:pPr>
            <w:bookmarkStart w:id="0" w:name="_Toc464590920"/>
            <w:bookmarkStart w:id="1" w:name="_Toc464720594"/>
            <w:bookmarkStart w:id="2" w:name="_Toc448833292"/>
            <w:bookmarkStart w:id="3" w:name="_Toc464590889"/>
            <w:bookmarkStart w:id="4" w:name="_Toc464720557"/>
            <w:bookmarkStart w:id="5" w:name="_Toc448833286"/>
            <w:bookmarkStart w:id="6" w:name="_Toc458425958"/>
            <w:bookmarkStart w:id="7" w:name="_Toc464590895"/>
            <w:bookmarkStart w:id="8" w:name="_Toc464720571"/>
          </w:p>
          <w:p w:rsidR="00AD052D" w:rsidRPr="00CA0689" w:rsidRDefault="00AD052D" w:rsidP="00AD052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综合金融发展情况？</w:t>
            </w:r>
          </w:p>
          <w:p w:rsidR="00E25B1B" w:rsidRDefault="00007E8A" w:rsidP="00007E8A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年一季度，综拓渠道迁徙客户（不含信用卡）净增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74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.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39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万户，占零售整体净增客户（不含信用卡）的比例为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34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.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2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%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，其中财富客户净增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2.76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万户，占整体净增财富客户的比例为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37.9%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；管理零售客户资产（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AUM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）余额净增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841.31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亿元，占零售整体净增客户资产余额的比例为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34.1%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。综拓渠道发放“新一贷”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152.36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亿元，占“新一贷”整体发放的比例为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55.03%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；发放汽融贷款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121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亿元，占汽融贷款整体发放的比例为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37.0%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。信用卡通过交叉销售渠道发卡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112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万张，在新增发卡量中占比为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33.7%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。零售全渠道代销集团保险累计实现非利息净收入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8.7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3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亿元，同比增长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40.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6</w:t>
            </w:r>
            <w:r w:rsidRPr="00007E8A">
              <w:rPr>
                <w:rFonts w:ascii="Arial" w:eastAsia="华文细黑" w:hAnsi="Arial"/>
                <w:bCs/>
                <w:sz w:val="21"/>
                <w:szCs w:val="21"/>
              </w:rPr>
              <w:t>%</w:t>
            </w:r>
            <w:r w:rsidRPr="00007E8A"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p w:rsidR="00C0477A" w:rsidRDefault="00C0477A" w:rsidP="005B3BAE">
            <w:pPr>
              <w:adjustRightInd w:val="0"/>
              <w:snapToGrid w:val="0"/>
              <w:rPr>
                <w:rFonts w:ascii="Arial" w:eastAsia="华文细黑" w:hAnsi="Arial" w:hint="eastAsia"/>
                <w:sz w:val="21"/>
                <w:szCs w:val="21"/>
              </w:rPr>
            </w:pPr>
          </w:p>
          <w:p w:rsidR="00EE0810" w:rsidRPr="00CA0689" w:rsidRDefault="00EE0810" w:rsidP="00EE0810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存款</w:t>
            </w:r>
            <w:r>
              <w:rPr>
                <w:rFonts w:ascii="Arial" w:eastAsia="华文细黑" w:hAnsi="Arial" w:hint="eastAsia"/>
                <w:sz w:val="21"/>
              </w:rPr>
              <w:t>情况及</w:t>
            </w:r>
            <w:r w:rsidRPr="009E293D">
              <w:rPr>
                <w:rFonts w:ascii="Arial" w:eastAsia="华文细黑" w:hAnsi="Arial" w:hint="eastAsia"/>
                <w:sz w:val="21"/>
              </w:rPr>
              <w:t>趋势？</w:t>
            </w:r>
          </w:p>
          <w:p w:rsidR="00EE0810" w:rsidRPr="00C0477A" w:rsidRDefault="00EE0810" w:rsidP="00EE0810">
            <w:pPr>
              <w:ind w:firstLineChars="250" w:firstLine="525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9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3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月末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，本行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吸收存款余额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22,869.77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7.4%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存款增长整体保持平稳。其中，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个人存款余额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5,215.74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亿元、较上年末增长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13.0%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保本理财产品余额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941.83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亿元、较上年末增长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13.9%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结构性存款余额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4,848.06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亿元、较上年末增长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11.8%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非保本理财产品余额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5,584.61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亿元、较上年末增长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3.8%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个人存款余额为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4,615.91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亿元，较上年末增幅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35.4%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未来，本行将持续提供多元化的存款产品，提升活期存款占比，保持存款稳定增长。</w:t>
            </w:r>
          </w:p>
          <w:p w:rsidR="00EE0810" w:rsidRPr="00EE0810" w:rsidRDefault="00EE0810" w:rsidP="005B3BAE">
            <w:pPr>
              <w:adjustRightInd w:val="0"/>
              <w:snapToGrid w:val="0"/>
              <w:rPr>
                <w:rFonts w:ascii="Arial" w:eastAsia="华文细黑" w:hAnsi="Arial"/>
                <w:sz w:val="21"/>
                <w:szCs w:val="21"/>
              </w:rPr>
            </w:pPr>
          </w:p>
          <w:p w:rsidR="00E00681" w:rsidRDefault="00E25B1B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bookmarkStart w:id="9" w:name="_Toc496018961"/>
            <w:r>
              <w:rPr>
                <w:rFonts w:ascii="Arial" w:eastAsia="华文细黑" w:hAnsi="Arial" w:hint="eastAsia"/>
                <w:sz w:val="21"/>
              </w:rPr>
              <w:t>资产质量情况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EE0810" w:rsidRPr="00A1521F" w:rsidRDefault="00EE0810" w:rsidP="00EE081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本行积极应对外部风险、调整业务结构，将贷款更多地投放到资产质量较好的零售业务。对公持续做精，新发放贷款聚焦重点行业、重点客户和重点产品，同时继续做好存量资产结构调整，加大问题资产清收处置力度，资产质量持续改善。</w:t>
            </w:r>
          </w:p>
          <w:p w:rsidR="00EE0810" w:rsidRPr="00A1521F" w:rsidRDefault="00EE0810" w:rsidP="00EE081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截至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3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月末，本行逾期贷款占比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2.45%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、逾期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90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天以上贷款占比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1.66%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、关注率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2.58%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和不良率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1.73%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较上年末均有下降，偏离度低于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bookmarkEnd w:id="0"/>
          <w:bookmarkEnd w:id="1"/>
          <w:bookmarkEnd w:id="2"/>
          <w:bookmarkEnd w:id="9"/>
          <w:p w:rsidR="00AA5A95" w:rsidRPr="00EE0810" w:rsidRDefault="00AA5A95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val="en-US" w:eastAsia="zh-CN"/>
              </w:rPr>
            </w:pPr>
          </w:p>
          <w:p w:rsidR="00C21A8C" w:rsidRPr="00CA0689" w:rsidRDefault="00E25B1B" w:rsidP="009E293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拨备覆盖率</w:t>
            </w:r>
            <w:r>
              <w:rPr>
                <w:rFonts w:ascii="Arial" w:eastAsia="华文细黑" w:hAnsi="Arial" w:hint="eastAsia"/>
                <w:sz w:val="21"/>
              </w:rPr>
              <w:t>情况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C21A8C" w:rsidRPr="00CA0689" w:rsidRDefault="00C0477A" w:rsidP="00C0477A">
            <w:pPr>
              <w:adjustRightInd w:val="0"/>
              <w:snapToGrid w:val="0"/>
              <w:ind w:firstLineChars="200" w:firstLine="420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月末，本行贷款减值准备余额为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604.08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11.5%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；拨贷比为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2.94%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，较上年末增加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0.23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个百分点；拨备覆盖率为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170.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59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、较上年末增加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15.3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5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个百分点，逾期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90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天以上贷款拨备覆盖率为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177.7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、较上年末增加</w:t>
            </w:r>
            <w:r w:rsidRPr="00C0477A">
              <w:rPr>
                <w:rFonts w:ascii="Arial" w:eastAsia="华文细黑" w:hAnsi="Arial"/>
                <w:sz w:val="21"/>
                <w:szCs w:val="21"/>
              </w:rPr>
              <w:t>18.2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个百分点，风险抵补能力进一步增强。未来将继续通过各种措施不断提升拨备增强风险抵御能力。</w:t>
            </w:r>
          </w:p>
          <w:p w:rsidR="00C21A8C" w:rsidRDefault="00C21A8C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理财子公司进展及目标？</w:t>
            </w:r>
          </w:p>
          <w:p w:rsidR="00E25B1B" w:rsidRPr="00E00681" w:rsidRDefault="00E25B1B" w:rsidP="00E25B1B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日，本行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董事会已提交通了《关于设立资产管理子公司的议案》，目前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尚需监管机构的批准。</w:t>
            </w:r>
          </w:p>
          <w:p w:rsidR="00E25B1B" w:rsidRDefault="00E25B1B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</w:p>
          <w:p w:rsidR="00AD052D" w:rsidRPr="00CA0689" w:rsidRDefault="00AD052D" w:rsidP="00AD052D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信用卡业务发展情况？</w:t>
            </w:r>
          </w:p>
          <w:p w:rsidR="00C0477A" w:rsidRDefault="00C0477A" w:rsidP="00EE081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9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3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月末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，本行信用卡业务继续保持稳健增长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：</w:t>
            </w:r>
          </w:p>
          <w:p w:rsidR="00C0477A" w:rsidRDefault="00C0477A" w:rsidP="00EE081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流通卡量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5,352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万张，较上年末增长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3.9%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C0477A" w:rsidRDefault="00C0477A" w:rsidP="00EE081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信用卡商城交易量同比增长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24.7%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C0477A" w:rsidRDefault="00C0477A" w:rsidP="00EE081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一季度总交易金额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8,010.30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，同比增长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43.2%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C0477A" w:rsidRDefault="00C0477A" w:rsidP="00EE081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4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贷款余额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4,923.07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4.0%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E25B1B" w:rsidRDefault="00E25B1B" w:rsidP="00E25B1B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eastAsia="zh-CN"/>
              </w:rPr>
            </w:pPr>
          </w:p>
          <w:p w:rsidR="00E25B1B" w:rsidRPr="00E00681" w:rsidRDefault="00E25B1B" w:rsidP="00E25B1B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bookmarkStart w:id="10" w:name="_GoBack"/>
            <w:bookmarkEnd w:id="3"/>
            <w:bookmarkEnd w:id="4"/>
            <w:r w:rsidRPr="00DA02F5">
              <w:rPr>
                <w:rFonts w:ascii="Arial" w:eastAsia="华文细黑" w:hAnsi="Arial" w:hint="eastAsia"/>
                <w:sz w:val="21"/>
              </w:rPr>
              <w:t>现在集团的</w:t>
            </w:r>
            <w:r w:rsidRPr="00DA02F5">
              <w:rPr>
                <w:rFonts w:ascii="Arial" w:eastAsia="华文细黑" w:hAnsi="Arial" w:hint="eastAsia"/>
                <w:sz w:val="21"/>
              </w:rPr>
              <w:t>1.</w:t>
            </w:r>
            <w:r>
              <w:rPr>
                <w:rFonts w:ascii="Arial" w:eastAsia="华文细黑" w:hAnsi="Arial" w:hint="eastAsia"/>
                <w:sz w:val="21"/>
              </w:rPr>
              <w:t>8</w:t>
            </w:r>
            <w:r w:rsidRPr="00DA02F5">
              <w:rPr>
                <w:rFonts w:ascii="Arial" w:eastAsia="华文细黑" w:hAnsi="Arial" w:hint="eastAsia"/>
                <w:sz w:val="21"/>
              </w:rPr>
              <w:t>亿客户未来是否都能变成银行客户</w:t>
            </w:r>
          </w:p>
          <w:p w:rsidR="00E25B1B" w:rsidRPr="00DA02F5" w:rsidRDefault="00E25B1B" w:rsidP="00E25B1B">
            <w:pPr>
              <w:adjustRightInd w:val="0"/>
              <w:snapToGrid w:val="0"/>
              <w:ind w:firstLineChars="150" w:firstLine="315"/>
              <w:rPr>
                <w:rFonts w:ascii="Arial" w:eastAsia="华文细黑" w:hAnsi="Arial"/>
                <w:sz w:val="21"/>
                <w:szCs w:val="21"/>
              </w:rPr>
            </w:pPr>
            <w:r w:rsidRPr="00DA02F5">
              <w:rPr>
                <w:rFonts w:ascii="Arial" w:eastAsia="华文细黑" w:hAnsi="Arial" w:hint="eastAsia"/>
                <w:sz w:val="21"/>
                <w:szCs w:val="21"/>
              </w:rPr>
              <w:t>全部转换是不可能的。我们要创造好的服务和场景，争取尽可能多的转化。</w:t>
            </w:r>
          </w:p>
          <w:bookmarkEnd w:id="10"/>
          <w:p w:rsidR="00AD052D" w:rsidRDefault="00AD052D" w:rsidP="00AD052D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/>
                <w:smallCaps/>
                <w:sz w:val="21"/>
                <w:szCs w:val="21"/>
                <w:lang w:val="en-US" w:eastAsia="zh-CN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口袋</w:t>
            </w:r>
            <w:r w:rsidRPr="00C87159">
              <w:rPr>
                <w:rFonts w:ascii="Arial" w:eastAsia="华文细黑" w:hAnsi="Arial" w:hint="eastAsia"/>
                <w:sz w:val="21"/>
              </w:rPr>
              <w:t>APP</w:t>
            </w:r>
            <w:r>
              <w:rPr>
                <w:rFonts w:ascii="Arial" w:eastAsia="华文细黑" w:hAnsi="Arial" w:hint="eastAsia"/>
                <w:sz w:val="21"/>
              </w:rPr>
              <w:t>的定位和运行情况</w:t>
            </w:r>
            <w:r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E25B1B" w:rsidRPr="00CA0689" w:rsidRDefault="00C0477A" w:rsidP="00E25B1B">
            <w:pPr>
              <w:adjustRightInd w:val="0"/>
              <w:snapToGrid w:val="0"/>
              <w:spacing w:afterLines="20" w:after="62"/>
              <w:ind w:firstLine="442"/>
              <w:rPr>
                <w:rStyle w:val="a8"/>
                <w:rFonts w:ascii="Arial" w:eastAsia="华文细黑" w:hAnsi="Arial"/>
                <w:smallCaps/>
                <w:sz w:val="21"/>
                <w:szCs w:val="21"/>
              </w:rPr>
            </w:pP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2019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年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3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月末，平安口袋银行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APP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注册客户数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6,765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万户，较上年末增长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8.7%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；月活客户数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2,603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万户。本行持续聚焦基础零售客户获客及经营，通过场景化、科技化手段，利用不同的互联网场景打造多种获客路径，坚持科技赋能和大数据驱动客户分析及经营策略的制定，促进获客及客户经营效率与产能提升。在获客方面，本行依托集团生态圈，深挖场景价值，持续优化口袋银行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APP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功能体验，构建银行线上生态圈，实现从用户到客户的转化</w:t>
            </w: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p w:rsidR="00E25B1B" w:rsidRPr="00E25B1B" w:rsidRDefault="00E25B1B" w:rsidP="00AD052D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/>
                <w:smallCaps/>
                <w:sz w:val="21"/>
                <w:szCs w:val="21"/>
                <w:lang w:val="en-US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 w:rsidRPr="009E293D">
              <w:rPr>
                <w:rFonts w:ascii="Arial" w:eastAsia="华文细黑" w:hAnsi="Arial" w:hint="eastAsia"/>
                <w:lang w:eastAsia="zh-TW"/>
              </w:rPr>
              <w:t>科技的投入和成果如何</w:t>
            </w:r>
            <w:r>
              <w:rPr>
                <w:rFonts w:ascii="Arial" w:eastAsia="华文细黑" w:hAnsi="Arial" w:hint="eastAsia"/>
                <w:lang w:eastAsia="zh-TW"/>
              </w:rPr>
              <w:t>？</w:t>
            </w:r>
          </w:p>
          <w:p w:rsidR="00EE0810" w:rsidRDefault="00EE0810" w:rsidP="00EE081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本行将“科技引领”作为全行首要发展战略方针。科技投入方面，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年，本行科技投入大幅增加，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资本性支出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25.75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亿元、同比增长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82%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EE0810" w:rsidRDefault="00EE0810" w:rsidP="00EE081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科技治理方面，本行制定了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三年（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2019-2021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）发展规划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416615" w:rsidRDefault="00EE0810" w:rsidP="00EE081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创新方面，依托平安集团在人工智能、区块链、云计算等领域的核心技术和资源，利用新技术赋能业务，持续提升客户体验、丰富金融产品、创新业务模式、完善风控体系、优化运营效率、促进智慧管理。“科技引领”推动战略转型已初见成效。</w:t>
            </w:r>
          </w:p>
          <w:bookmarkEnd w:id="5"/>
          <w:bookmarkEnd w:id="6"/>
          <w:bookmarkEnd w:id="7"/>
          <w:bookmarkEnd w:id="8"/>
          <w:p w:rsidR="008B3EDE" w:rsidRDefault="008B3EDE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E25B1B" w:rsidRPr="00CA0689" w:rsidRDefault="00E25B1B" w:rsidP="00E25B1B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>
              <w:rPr>
                <w:rFonts w:ascii="Arial" w:eastAsia="华文细黑" w:hAnsi="Arial" w:hint="eastAsia"/>
              </w:rPr>
              <w:t>贵行</w:t>
            </w:r>
            <w:r w:rsidRPr="00C87159">
              <w:rPr>
                <w:rFonts w:ascii="Arial" w:eastAsia="华文细黑" w:hAnsi="Arial" w:hint="eastAsia"/>
                <w:lang w:eastAsia="zh-TW"/>
              </w:rPr>
              <w:t>发行可转债后，资本充足率情况？</w:t>
            </w:r>
          </w:p>
          <w:p w:rsidR="00E25B1B" w:rsidRDefault="00C0477A" w:rsidP="00C0477A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月末，本行核心一级资本充足率、一级资本充足率及资本充足率分别为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8.77%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9.61%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11.52%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，均满足监管达标要求，较上年末分别提高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0.26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、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0.21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0.30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个百分点。本行已于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25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日完成了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260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A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股可转换公司债券的发行，其中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37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亿元权益部分直接计入核心一级资本，其余部分将于转股后陆续补充本行核心一级资本，进一步提高资本充足水平。</w:t>
            </w:r>
          </w:p>
          <w:p w:rsidR="00E25B1B" w:rsidRDefault="00E25B1B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E25B1B" w:rsidRPr="00E25B1B" w:rsidRDefault="00E25B1B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CC12EA" w:rsidRPr="00CA0689" w:rsidRDefault="00A140B8" w:rsidP="00E00681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  <w:lang w:val="zh-TW"/>
              </w:rPr>
            </w:pPr>
            <w:r w:rsidRPr="00CA0689">
              <w:rPr>
                <w:rStyle w:val="a8"/>
                <w:rFonts w:ascii="Arial" w:eastAsia="华文细黑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007E8A" w:rsidP="00C21A8C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2019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一季度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业绩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PPT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（请参见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bank.pingan.com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投资者关系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-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公司推介栏目）</w:t>
            </w:r>
          </w:p>
        </w:tc>
      </w:tr>
      <w:tr w:rsidR="00EE1C10" w:rsidRPr="00CA0689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007E8A" w:rsidP="009E293D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7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</w:t>
            </w:r>
          </w:p>
        </w:tc>
      </w:tr>
    </w:tbl>
    <w:p w:rsidR="00941F1C" w:rsidRPr="00CA0689" w:rsidRDefault="00941F1C" w:rsidP="00862CF2">
      <w:pPr>
        <w:rPr>
          <w:rFonts w:ascii="Arial" w:eastAsia="华文细黑" w:hAnsi="Arial"/>
          <w:szCs w:val="21"/>
        </w:rPr>
      </w:pPr>
    </w:p>
    <w:sectPr w:rsidR="00941F1C" w:rsidRPr="00CA0689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F6" w:rsidRDefault="00D523F6" w:rsidP="00D96584">
      <w:r>
        <w:separator/>
      </w:r>
    </w:p>
  </w:endnote>
  <w:endnote w:type="continuationSeparator" w:id="0">
    <w:p w:rsidR="00D523F6" w:rsidRDefault="00D523F6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F6" w:rsidRDefault="00D523F6" w:rsidP="00D96584">
      <w:r>
        <w:separator/>
      </w:r>
    </w:p>
  </w:footnote>
  <w:footnote w:type="continuationSeparator" w:id="0">
    <w:p w:rsidR="00D523F6" w:rsidRDefault="00D523F6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757A4"/>
    <w:multiLevelType w:val="hybridMultilevel"/>
    <w:tmpl w:val="1BB09DFC"/>
    <w:lvl w:ilvl="0" w:tplc="A3E4D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8AC1786"/>
    <w:multiLevelType w:val="hybridMultilevel"/>
    <w:tmpl w:val="29CCDE1C"/>
    <w:lvl w:ilvl="0" w:tplc="015C8DD2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A8031BB"/>
    <w:multiLevelType w:val="hybridMultilevel"/>
    <w:tmpl w:val="2E04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BF1A32"/>
    <w:multiLevelType w:val="hybridMultilevel"/>
    <w:tmpl w:val="8D9E8B94"/>
    <w:lvl w:ilvl="0" w:tplc="6214335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35D16322"/>
    <w:multiLevelType w:val="hybridMultilevel"/>
    <w:tmpl w:val="FBCEA6A2"/>
    <w:lvl w:ilvl="0" w:tplc="419EDC28">
      <w:start w:val="1"/>
      <w:numFmt w:val="decimal"/>
      <w:pStyle w:val="3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8C92885"/>
    <w:multiLevelType w:val="hybridMultilevel"/>
    <w:tmpl w:val="3BC8B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D51C9B"/>
    <w:multiLevelType w:val="hybridMultilevel"/>
    <w:tmpl w:val="1AD83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20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>
    <w:nsid w:val="666C0CB7"/>
    <w:multiLevelType w:val="hybridMultilevel"/>
    <w:tmpl w:val="86B2FF9C"/>
    <w:lvl w:ilvl="0" w:tplc="BF78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4750563"/>
    <w:multiLevelType w:val="hybridMultilevel"/>
    <w:tmpl w:val="98742676"/>
    <w:lvl w:ilvl="0" w:tplc="04090001">
      <w:start w:val="1"/>
      <w:numFmt w:val="bullet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5">
    <w:nsid w:val="75144018"/>
    <w:multiLevelType w:val="hybridMultilevel"/>
    <w:tmpl w:val="23AE4E20"/>
    <w:lvl w:ilvl="0" w:tplc="D37AAD48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>
    <w:nsid w:val="7530778C"/>
    <w:multiLevelType w:val="hybridMultilevel"/>
    <w:tmpl w:val="149C09E0"/>
    <w:lvl w:ilvl="0" w:tplc="04090001">
      <w:start w:val="1"/>
      <w:numFmt w:val="bullet"/>
      <w:lvlText w:val=""/>
      <w:lvlJc w:val="left"/>
      <w:pPr>
        <w:ind w:left="7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27">
    <w:nsid w:val="7D2420E2"/>
    <w:multiLevelType w:val="hybridMultilevel"/>
    <w:tmpl w:val="3E709AA6"/>
    <w:lvl w:ilvl="0" w:tplc="1CE0452C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21"/>
  </w:num>
  <w:num w:numId="13">
    <w:abstractNumId w:val="8"/>
  </w:num>
  <w:num w:numId="14">
    <w:abstractNumId w:val="27"/>
  </w:num>
  <w:num w:numId="15">
    <w:abstractNumId w:val="16"/>
  </w:num>
  <w:num w:numId="16">
    <w:abstractNumId w:val="17"/>
  </w:num>
  <w:num w:numId="17">
    <w:abstractNumId w:val="14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0"/>
  </w:num>
  <w:num w:numId="23">
    <w:abstractNumId w:val="11"/>
  </w:num>
  <w:num w:numId="24">
    <w:abstractNumId w:val="24"/>
  </w:num>
  <w:num w:numId="25">
    <w:abstractNumId w:val="26"/>
  </w:num>
  <w:num w:numId="26">
    <w:abstractNumId w:val="13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3"/>
  </w:num>
  <w:num w:numId="32">
    <w:abstractNumId w:val="4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07E8A"/>
    <w:rsid w:val="0005090F"/>
    <w:rsid w:val="00083D6A"/>
    <w:rsid w:val="000A2DF8"/>
    <w:rsid w:val="000B3693"/>
    <w:rsid w:val="000B41B6"/>
    <w:rsid w:val="00101C48"/>
    <w:rsid w:val="00130F3C"/>
    <w:rsid w:val="001434EB"/>
    <w:rsid w:val="001504C0"/>
    <w:rsid w:val="001516B8"/>
    <w:rsid w:val="0015535F"/>
    <w:rsid w:val="00161A96"/>
    <w:rsid w:val="00197FFA"/>
    <w:rsid w:val="001B33AC"/>
    <w:rsid w:val="001B72DE"/>
    <w:rsid w:val="001C10A8"/>
    <w:rsid w:val="001C4C8A"/>
    <w:rsid w:val="001D2529"/>
    <w:rsid w:val="001D5474"/>
    <w:rsid w:val="001E2C63"/>
    <w:rsid w:val="00210939"/>
    <w:rsid w:val="002120FC"/>
    <w:rsid w:val="00217D1A"/>
    <w:rsid w:val="002515C0"/>
    <w:rsid w:val="002721F3"/>
    <w:rsid w:val="002B200E"/>
    <w:rsid w:val="002B4EAA"/>
    <w:rsid w:val="002B5D00"/>
    <w:rsid w:val="002E5EDB"/>
    <w:rsid w:val="003317E5"/>
    <w:rsid w:val="00375010"/>
    <w:rsid w:val="003B107D"/>
    <w:rsid w:val="003B721F"/>
    <w:rsid w:val="003C375D"/>
    <w:rsid w:val="003C42A4"/>
    <w:rsid w:val="003F144D"/>
    <w:rsid w:val="003F79D6"/>
    <w:rsid w:val="00413B4B"/>
    <w:rsid w:val="00416615"/>
    <w:rsid w:val="0043629D"/>
    <w:rsid w:val="0045059E"/>
    <w:rsid w:val="004800AE"/>
    <w:rsid w:val="0049405C"/>
    <w:rsid w:val="0049740A"/>
    <w:rsid w:val="00497C7E"/>
    <w:rsid w:val="004B47B1"/>
    <w:rsid w:val="004F6F03"/>
    <w:rsid w:val="00511122"/>
    <w:rsid w:val="0051123B"/>
    <w:rsid w:val="00535D6F"/>
    <w:rsid w:val="005464C3"/>
    <w:rsid w:val="00550FD9"/>
    <w:rsid w:val="005B3BAE"/>
    <w:rsid w:val="00622C3A"/>
    <w:rsid w:val="00623A26"/>
    <w:rsid w:val="0063326E"/>
    <w:rsid w:val="00684A13"/>
    <w:rsid w:val="006A1753"/>
    <w:rsid w:val="006B0B04"/>
    <w:rsid w:val="006C5210"/>
    <w:rsid w:val="006E4D55"/>
    <w:rsid w:val="006F64B3"/>
    <w:rsid w:val="00740C1A"/>
    <w:rsid w:val="00761259"/>
    <w:rsid w:val="00793203"/>
    <w:rsid w:val="007C213F"/>
    <w:rsid w:val="00803207"/>
    <w:rsid w:val="0082259D"/>
    <w:rsid w:val="00845B88"/>
    <w:rsid w:val="00853994"/>
    <w:rsid w:val="00862CF2"/>
    <w:rsid w:val="008710F9"/>
    <w:rsid w:val="00880699"/>
    <w:rsid w:val="0089673B"/>
    <w:rsid w:val="008A4E3E"/>
    <w:rsid w:val="008B3EDE"/>
    <w:rsid w:val="008C111F"/>
    <w:rsid w:val="008F16A2"/>
    <w:rsid w:val="00921892"/>
    <w:rsid w:val="00930952"/>
    <w:rsid w:val="00941F1C"/>
    <w:rsid w:val="00951547"/>
    <w:rsid w:val="009C5679"/>
    <w:rsid w:val="009E293D"/>
    <w:rsid w:val="009F13CD"/>
    <w:rsid w:val="00A06B39"/>
    <w:rsid w:val="00A140B8"/>
    <w:rsid w:val="00A87A56"/>
    <w:rsid w:val="00AA5A95"/>
    <w:rsid w:val="00AB47CE"/>
    <w:rsid w:val="00AB67BB"/>
    <w:rsid w:val="00AD052D"/>
    <w:rsid w:val="00B17ECB"/>
    <w:rsid w:val="00B31C4E"/>
    <w:rsid w:val="00B454CA"/>
    <w:rsid w:val="00B65391"/>
    <w:rsid w:val="00B708D6"/>
    <w:rsid w:val="00B71E2E"/>
    <w:rsid w:val="00B84A84"/>
    <w:rsid w:val="00B93810"/>
    <w:rsid w:val="00BB741D"/>
    <w:rsid w:val="00BE11BC"/>
    <w:rsid w:val="00BE3743"/>
    <w:rsid w:val="00C0477A"/>
    <w:rsid w:val="00C12E89"/>
    <w:rsid w:val="00C21A8C"/>
    <w:rsid w:val="00C35BCB"/>
    <w:rsid w:val="00C51768"/>
    <w:rsid w:val="00C81677"/>
    <w:rsid w:val="00CA0689"/>
    <w:rsid w:val="00CA1629"/>
    <w:rsid w:val="00CB4AC9"/>
    <w:rsid w:val="00CC12EA"/>
    <w:rsid w:val="00CF7823"/>
    <w:rsid w:val="00D03DFD"/>
    <w:rsid w:val="00D06801"/>
    <w:rsid w:val="00D302B7"/>
    <w:rsid w:val="00D50045"/>
    <w:rsid w:val="00D523F6"/>
    <w:rsid w:val="00D87038"/>
    <w:rsid w:val="00D91B1B"/>
    <w:rsid w:val="00D96584"/>
    <w:rsid w:val="00DC7C3C"/>
    <w:rsid w:val="00DD1E65"/>
    <w:rsid w:val="00DE4B3F"/>
    <w:rsid w:val="00E00681"/>
    <w:rsid w:val="00E055AC"/>
    <w:rsid w:val="00E1525A"/>
    <w:rsid w:val="00E25B1B"/>
    <w:rsid w:val="00E37317"/>
    <w:rsid w:val="00E733AB"/>
    <w:rsid w:val="00EE0810"/>
    <w:rsid w:val="00EE1C10"/>
    <w:rsid w:val="00EE4F68"/>
    <w:rsid w:val="00EE7C01"/>
    <w:rsid w:val="00F16F75"/>
    <w:rsid w:val="00F628CA"/>
    <w:rsid w:val="00F66AD9"/>
    <w:rsid w:val="00FA1FC9"/>
    <w:rsid w:val="00FA7D26"/>
    <w:rsid w:val="00FC32FA"/>
    <w:rsid w:val="00FD0E95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419</Words>
  <Characters>2394</Characters>
  <Application>Microsoft Office Word</Application>
  <DocSecurity>0</DocSecurity>
  <Lines>19</Lines>
  <Paragraphs>5</Paragraphs>
  <ScaleCrop>false</ScaleCrop>
  <Company>sdb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李稀真</cp:lastModifiedBy>
  <cp:revision>8</cp:revision>
  <dcterms:created xsi:type="dcterms:W3CDTF">2019-04-17T06:31:00Z</dcterms:created>
  <dcterms:modified xsi:type="dcterms:W3CDTF">2019-08-01T01:48:00Z</dcterms:modified>
</cp:coreProperties>
</file>