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3577F6">
        <w:tc>
          <w:tcPr>
            <w:tcW w:w="4261" w:type="dxa"/>
          </w:tcPr>
          <w:p w:rsidR="003577F6" w:rsidRDefault="00750309">
            <w:pPr>
              <w:spacing w:beforeLines="50" w:before="156" w:afterLines="50" w:after="156" w:line="400" w:lineRule="exact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;</w:t>
            </w:r>
            <w:r w:rsidR="0095556F">
              <w:rPr>
                <w:bCs/>
                <w:iCs/>
                <w:sz w:val="24"/>
              </w:rPr>
              <w:t>证券代码</w:t>
            </w:r>
            <w:r w:rsidR="0095556F">
              <w:rPr>
                <w:rFonts w:hint="eastAsia"/>
                <w:bCs/>
                <w:iCs/>
                <w:sz w:val="24"/>
              </w:rPr>
              <w:t>：</w:t>
            </w:r>
            <w:r w:rsidR="0095556F"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:rsidR="003577F6" w:rsidRDefault="0095556F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</w:t>
            </w:r>
            <w:proofErr w:type="gramStart"/>
            <w:r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:rsidR="003577F6" w:rsidRDefault="003577F6">
      <w:pPr>
        <w:spacing w:beforeLines="50" w:before="156" w:afterLines="50" w:after="156" w:line="400" w:lineRule="exact"/>
        <w:rPr>
          <w:bCs/>
          <w:iCs/>
          <w:sz w:val="24"/>
        </w:rPr>
      </w:pPr>
    </w:p>
    <w:p w:rsidR="003577F6" w:rsidRDefault="0095556F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>
        <w:rPr>
          <w:b/>
          <w:bCs/>
          <w:iCs/>
          <w:sz w:val="36"/>
          <w:szCs w:val="24"/>
        </w:rPr>
        <w:t>牧原食品</w:t>
      </w:r>
      <w:proofErr w:type="gramEnd"/>
      <w:r>
        <w:rPr>
          <w:b/>
          <w:bCs/>
          <w:iCs/>
          <w:sz w:val="36"/>
          <w:szCs w:val="24"/>
        </w:rPr>
        <w:t>股份有限公司</w:t>
      </w:r>
    </w:p>
    <w:p w:rsidR="003577F6" w:rsidRDefault="0095556F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 w:rsidR="003577F6" w:rsidRDefault="0095556F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>
        <w:rPr>
          <w:rFonts w:hint="eastAsia"/>
          <w:bCs/>
          <w:iCs/>
          <w:sz w:val="24"/>
          <w:szCs w:val="24"/>
        </w:rPr>
        <w:t>201</w:t>
      </w:r>
      <w:r w:rsidR="003A453D">
        <w:rPr>
          <w:bCs/>
          <w:iCs/>
          <w:sz w:val="24"/>
          <w:szCs w:val="24"/>
        </w:rPr>
        <w:t>9</w:t>
      </w:r>
      <w:r>
        <w:rPr>
          <w:rFonts w:hint="eastAsia"/>
          <w:bCs/>
          <w:iCs/>
          <w:sz w:val="24"/>
          <w:szCs w:val="24"/>
        </w:rPr>
        <w:t>-</w:t>
      </w:r>
      <w:r w:rsidR="00F03499">
        <w:rPr>
          <w:rFonts w:hint="eastAsia"/>
          <w:bCs/>
          <w:iCs/>
          <w:sz w:val="24"/>
          <w:szCs w:val="24"/>
        </w:rPr>
        <w:t>0</w:t>
      </w:r>
      <w:r w:rsidR="00F03499">
        <w:rPr>
          <w:bCs/>
          <w:iCs/>
          <w:sz w:val="24"/>
          <w:szCs w:val="24"/>
        </w:rPr>
        <w:t>5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3577F6">
        <w:tc>
          <w:tcPr>
            <w:tcW w:w="2943" w:type="dxa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577F6" w:rsidRDefault="003577F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:rsidR="003577F6" w:rsidRDefault="00F0349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 w:rsidR="0095556F">
              <w:rPr>
                <w:sz w:val="24"/>
                <w:szCs w:val="24"/>
              </w:rPr>
              <w:t>特定对象调研</w:t>
            </w:r>
            <w:r w:rsidR="0095556F">
              <w:rPr>
                <w:bCs/>
                <w:iCs/>
                <w:sz w:val="24"/>
                <w:szCs w:val="24"/>
              </w:rPr>
              <w:t>□</w:t>
            </w:r>
            <w:r w:rsidR="0095556F">
              <w:rPr>
                <w:sz w:val="24"/>
                <w:szCs w:val="24"/>
              </w:rPr>
              <w:t>分析师会议</w:t>
            </w:r>
          </w:p>
          <w:p w:rsidR="003577F6" w:rsidRDefault="009555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:rsidR="003577F6" w:rsidRDefault="009555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:rsidR="003577F6" w:rsidRDefault="0095556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:rsidR="003577F6" w:rsidRDefault="00F03499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√</w:t>
            </w:r>
            <w:r w:rsidR="0095556F">
              <w:rPr>
                <w:sz w:val="24"/>
                <w:szCs w:val="24"/>
              </w:rPr>
              <w:t>其他（</w:t>
            </w:r>
            <w:r w:rsidRPr="00F03499">
              <w:rPr>
                <w:rFonts w:hint="eastAsia"/>
                <w:sz w:val="24"/>
                <w:szCs w:val="24"/>
                <w:u w:val="single"/>
              </w:rPr>
              <w:t>2019</w:t>
            </w:r>
            <w:r w:rsidRPr="00F03499">
              <w:rPr>
                <w:rFonts w:hint="eastAsia"/>
                <w:sz w:val="24"/>
                <w:szCs w:val="24"/>
                <w:u w:val="single"/>
              </w:rPr>
              <w:t>年半年报交流电话会议</w:t>
            </w:r>
            <w:r w:rsidR="0095556F">
              <w:rPr>
                <w:sz w:val="24"/>
                <w:szCs w:val="24"/>
                <w:u w:val="single"/>
              </w:rPr>
              <w:t>）</w:t>
            </w:r>
          </w:p>
        </w:tc>
      </w:tr>
      <w:tr w:rsidR="003577F6">
        <w:tc>
          <w:tcPr>
            <w:tcW w:w="2943" w:type="dxa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:rsidR="00222ABB" w:rsidRPr="00161B8A" w:rsidRDefault="00222AB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61B8A">
              <w:rPr>
                <w:bCs/>
                <w:iCs/>
                <w:sz w:val="24"/>
                <w:szCs w:val="24"/>
              </w:rPr>
              <w:t>长江农业</w:t>
            </w:r>
            <w:r w:rsidR="00F03499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 w:rsidRPr="00161B8A">
              <w:rPr>
                <w:rFonts w:hint="eastAsia"/>
                <w:bCs/>
                <w:iCs/>
                <w:sz w:val="24"/>
                <w:szCs w:val="24"/>
              </w:rPr>
              <w:t>陈佳、余昌</w:t>
            </w:r>
          </w:p>
          <w:p w:rsidR="0027403B" w:rsidRDefault="00E323A5" w:rsidP="0027403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安信基金</w:t>
            </w:r>
            <w:r w:rsidR="006B7DF5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bCs/>
                <w:iCs/>
                <w:sz w:val="24"/>
                <w:szCs w:val="24"/>
              </w:rPr>
              <w:t>黄燕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>
              <w:rPr>
                <w:bCs/>
                <w:iCs/>
                <w:sz w:val="24"/>
                <w:szCs w:val="24"/>
              </w:rPr>
              <w:t>陈鹏</w:t>
            </w:r>
          </w:p>
          <w:p w:rsidR="00E323A5" w:rsidRDefault="00E323A5" w:rsidP="0027403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博时基金</w:t>
            </w:r>
            <w:r w:rsidR="00F03499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bCs/>
                <w:iCs/>
                <w:sz w:val="24"/>
                <w:szCs w:val="24"/>
              </w:rPr>
              <w:t>王诗瑶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F03499" w:rsidRPr="00F03499">
              <w:rPr>
                <w:rFonts w:hint="eastAsia"/>
                <w:bCs/>
                <w:iCs/>
                <w:sz w:val="24"/>
                <w:szCs w:val="24"/>
              </w:rPr>
              <w:t>蔡滨</w:t>
            </w:r>
          </w:p>
          <w:p w:rsidR="00E323A5" w:rsidRDefault="00E323A5" w:rsidP="0027403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大成基金</w:t>
            </w:r>
            <w:r w:rsidR="00F03499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bCs/>
                <w:iCs/>
                <w:sz w:val="24"/>
                <w:szCs w:val="24"/>
              </w:rPr>
              <w:t>魏庆国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>
              <w:rPr>
                <w:bCs/>
                <w:iCs/>
                <w:sz w:val="24"/>
                <w:szCs w:val="24"/>
              </w:rPr>
              <w:t>郑少芳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>
              <w:rPr>
                <w:bCs/>
                <w:iCs/>
                <w:sz w:val="24"/>
                <w:szCs w:val="24"/>
              </w:rPr>
              <w:t>王晶晶</w:t>
            </w:r>
          </w:p>
          <w:p w:rsidR="00E323A5" w:rsidRDefault="00E323A5" w:rsidP="0027403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华安基金</w:t>
            </w:r>
            <w:r w:rsidR="00F03499"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bCs/>
                <w:iCs/>
                <w:sz w:val="24"/>
                <w:szCs w:val="24"/>
              </w:rPr>
              <w:t>陈媛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F03499" w:rsidRPr="00F03499">
              <w:rPr>
                <w:rFonts w:hint="eastAsia"/>
                <w:bCs/>
                <w:iCs/>
                <w:sz w:val="24"/>
                <w:szCs w:val="24"/>
              </w:rPr>
              <w:t>李晓</w:t>
            </w:r>
            <w:proofErr w:type="gramStart"/>
            <w:r w:rsidR="00F03499" w:rsidRPr="00F03499">
              <w:rPr>
                <w:rFonts w:hint="eastAsia"/>
                <w:bCs/>
                <w:iCs/>
                <w:sz w:val="24"/>
                <w:szCs w:val="24"/>
              </w:rPr>
              <w:t>峥</w:t>
            </w:r>
            <w:proofErr w:type="gramEnd"/>
            <w:r>
              <w:rPr>
                <w:bCs/>
                <w:iCs/>
                <w:sz w:val="24"/>
                <w:szCs w:val="24"/>
              </w:rPr>
              <w:t>等</w:t>
            </w:r>
          </w:p>
        </w:tc>
      </w:tr>
      <w:tr w:rsidR="003577F6">
        <w:tc>
          <w:tcPr>
            <w:tcW w:w="2943" w:type="dxa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:rsidR="003577F6" w:rsidRDefault="0095556F" w:rsidP="00E323A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 w:rsidR="003A453D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E323A5"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E323A5">
              <w:rPr>
                <w:bCs/>
                <w:iCs/>
                <w:sz w:val="24"/>
                <w:szCs w:val="24"/>
              </w:rPr>
              <w:t>27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3577F6">
        <w:tc>
          <w:tcPr>
            <w:tcW w:w="2943" w:type="dxa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:rsidR="003577F6" w:rsidRDefault="009555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公司总部会议室</w:t>
            </w:r>
          </w:p>
        </w:tc>
      </w:tr>
      <w:tr w:rsidR="003577F6">
        <w:tc>
          <w:tcPr>
            <w:tcW w:w="2943" w:type="dxa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:rsidR="003577F6" w:rsidRDefault="0095556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董事会秘书、副总经理秦军</w:t>
            </w:r>
          </w:p>
        </w:tc>
      </w:tr>
      <w:tr w:rsidR="003577F6">
        <w:trPr>
          <w:trHeight w:val="1125"/>
        </w:trPr>
        <w:tc>
          <w:tcPr>
            <w:tcW w:w="8758" w:type="dxa"/>
            <w:gridSpan w:val="2"/>
          </w:tcPr>
          <w:p w:rsidR="000A043F" w:rsidRPr="000A043F" w:rsidRDefault="0095556F" w:rsidP="000A043F">
            <w:pPr>
              <w:pStyle w:val="a8"/>
              <w:spacing w:before="0" w:beforeAutospacing="0" w:after="0" w:afterAutospacing="0" w:line="4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iCs/>
                <w:sz w:val="28"/>
                <w:szCs w:val="28"/>
              </w:rPr>
            </w:pPr>
            <w:r w:rsidRPr="000A043F"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8"/>
                <w:szCs w:val="28"/>
              </w:rPr>
              <w:t>会谈主要内容</w:t>
            </w:r>
          </w:p>
          <w:p w:rsidR="000E2B7D" w:rsidRPr="000A043F" w:rsidRDefault="000A043F" w:rsidP="006E473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0A043F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1、</w:t>
            </w:r>
            <w:r w:rsidR="00E323A5" w:rsidRPr="00E323A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</w:t>
            </w:r>
            <w:r w:rsidR="00E323A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上半年</w:t>
            </w:r>
            <w:r w:rsidR="00E323A5" w:rsidRPr="00E323A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经营情况介绍</w:t>
            </w:r>
            <w:r w:rsidR="00E34176" w:rsidRPr="00E34176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:rsidR="00220F99" w:rsidRDefault="00E323A5" w:rsidP="00F000C8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019年上半年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Pr="00E323A5">
              <w:rPr>
                <w:rFonts w:ascii="宋体" w:hAnsi="宋体" w:hint="eastAsia"/>
                <w:sz w:val="24"/>
                <w:szCs w:val="24"/>
                <w:lang w:val="zh-CN"/>
              </w:rPr>
              <w:t>公司生猪销售581.50万头，比上年同期增长22.58%，其中商品猪521.82万头，仔猪59.26万头，种猪0.42万头；实现营业收入71.60亿元，同比增长29.87%；受非洲猪瘟疫情的影响，公司一季度生猪销售价格显著低于往年的正常水平，归属于母公司所有者的净利润为-5.40亿元，第二季度，生猪价格开始逐步上涨，公司开始步入盈利期。但因一季度亏损较大，2019年上半年归属于母公司所有者的净利润为-1.56亿元。</w:t>
            </w:r>
          </w:p>
          <w:p w:rsidR="00E323A5" w:rsidRDefault="00CF3589" w:rsidP="00E323A5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E323A5"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2018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下半年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起</w:t>
            </w:r>
            <w:r w:rsidR="00E323A5" w:rsidRPr="00E323A5">
              <w:rPr>
                <w:rFonts w:ascii="宋体" w:hAnsi="宋体" w:hint="eastAsia"/>
                <w:sz w:val="24"/>
                <w:szCs w:val="24"/>
                <w:lang w:val="zh-CN"/>
              </w:rPr>
              <w:t>顺应国家和金融机构政策开展供应链融资业务，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优化</w:t>
            </w:r>
            <w:r w:rsidR="00E323A5" w:rsidRPr="00E323A5">
              <w:rPr>
                <w:rFonts w:ascii="宋体" w:hAnsi="宋体" w:hint="eastAsia"/>
                <w:sz w:val="24"/>
                <w:szCs w:val="24"/>
                <w:lang w:val="zh-CN"/>
              </w:rPr>
              <w:t>应</w:t>
            </w:r>
            <w:r w:rsidR="00E323A5" w:rsidRPr="00E323A5">
              <w:rPr>
                <w:rFonts w:ascii="宋体" w:hAnsi="宋体" w:hint="eastAsia"/>
                <w:sz w:val="24"/>
                <w:szCs w:val="24"/>
                <w:lang w:val="zh-CN"/>
              </w:rPr>
              <w:lastRenderedPageBreak/>
              <w:t>付账款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的</w:t>
            </w:r>
            <w:r w:rsidR="00E323A5" w:rsidRPr="00E323A5">
              <w:rPr>
                <w:rFonts w:ascii="宋体" w:hAnsi="宋体" w:hint="eastAsia"/>
                <w:sz w:val="24"/>
                <w:szCs w:val="24"/>
                <w:lang w:val="zh-CN"/>
              </w:rPr>
              <w:t>周期管理，2019年上半年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生产性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生物资产的增长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及</w:t>
            </w:r>
            <w:r w:rsidR="00E323A5" w:rsidRPr="00E323A5">
              <w:rPr>
                <w:rFonts w:ascii="宋体" w:hAnsi="宋体" w:hint="eastAsia"/>
                <w:sz w:val="24"/>
                <w:szCs w:val="24"/>
                <w:lang w:val="zh-CN"/>
              </w:rPr>
              <w:t>经营活动净现金流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的回升，对于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未来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比较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乐观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:rsidR="00F000C8" w:rsidRDefault="00E323A5" w:rsidP="006E473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2</w:t>
            </w:r>
            <w:r w:rsidRPr="000A043F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Pr="00E323A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一季度与二季度的</w:t>
            </w:r>
            <w:r w:rsidR="00CF3589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养殖</w:t>
            </w:r>
            <w:r w:rsidRPr="00E323A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成本相对比较平稳，后期成本变化趋势</w:t>
            </w:r>
            <w:r w:rsidR="00CF3589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会</w:t>
            </w:r>
            <w:r w:rsidR="00CF3589">
              <w:rPr>
                <w:rFonts w:ascii="宋体" w:hAnsi="宋体"/>
                <w:b/>
                <w:sz w:val="24"/>
                <w:szCs w:val="24"/>
                <w:lang w:val="zh-CN"/>
              </w:rPr>
              <w:t>怎样</w:t>
            </w:r>
            <w:r w:rsidRPr="00E323A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:rsidR="00E323A5" w:rsidRDefault="00E323A5" w:rsidP="00E216C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E323A5">
              <w:rPr>
                <w:rFonts w:ascii="宋体" w:hAnsi="宋体" w:hint="eastAsia"/>
                <w:sz w:val="24"/>
                <w:szCs w:val="24"/>
                <w:lang w:val="zh-CN"/>
              </w:rPr>
              <w:t>二季度</w:t>
            </w:r>
            <w:r w:rsidR="000F696D">
              <w:rPr>
                <w:rFonts w:ascii="宋体" w:hAnsi="宋体" w:hint="eastAsia"/>
                <w:sz w:val="24"/>
                <w:szCs w:val="24"/>
                <w:lang w:val="zh-CN"/>
              </w:rPr>
              <w:t>成本变动</w:t>
            </w:r>
            <w:r w:rsidR="000F696D">
              <w:rPr>
                <w:rFonts w:ascii="宋体" w:hAnsi="宋体"/>
                <w:sz w:val="24"/>
                <w:szCs w:val="24"/>
                <w:lang w:val="zh-CN"/>
              </w:rPr>
              <w:t>幅度不大</w:t>
            </w:r>
            <w:r w:rsidRPr="00E323A5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  <w:r w:rsidR="000F696D">
              <w:rPr>
                <w:rFonts w:ascii="宋体" w:hAnsi="宋体" w:hint="eastAsia"/>
                <w:sz w:val="24"/>
                <w:szCs w:val="24"/>
                <w:lang w:val="zh-CN"/>
              </w:rPr>
              <w:t>后期</w:t>
            </w:r>
            <w:r w:rsidRPr="00E323A5">
              <w:rPr>
                <w:rFonts w:ascii="宋体" w:hAnsi="宋体" w:hint="eastAsia"/>
                <w:sz w:val="24"/>
                <w:szCs w:val="24"/>
                <w:lang w:val="zh-CN"/>
              </w:rPr>
              <w:t>随着新</w:t>
            </w:r>
            <w:r w:rsidR="000F696D">
              <w:rPr>
                <w:rFonts w:ascii="宋体" w:hAnsi="宋体" w:hint="eastAsia"/>
                <w:sz w:val="24"/>
                <w:szCs w:val="24"/>
                <w:lang w:val="zh-CN"/>
              </w:rPr>
              <w:t>场</w:t>
            </w:r>
            <w:r w:rsidR="000F696D" w:rsidRPr="00E323A5">
              <w:rPr>
                <w:rFonts w:ascii="宋体" w:hAnsi="宋体" w:hint="eastAsia"/>
                <w:sz w:val="24"/>
                <w:szCs w:val="24"/>
                <w:lang w:val="zh-CN"/>
              </w:rPr>
              <w:t>区</w:t>
            </w:r>
            <w:r w:rsidRPr="00E323A5">
              <w:rPr>
                <w:rFonts w:ascii="宋体" w:hAnsi="宋体" w:hint="eastAsia"/>
                <w:sz w:val="24"/>
                <w:szCs w:val="24"/>
                <w:lang w:val="zh-CN"/>
              </w:rPr>
              <w:t>的建设与老</w:t>
            </w:r>
            <w:r w:rsidR="000F696D">
              <w:rPr>
                <w:rFonts w:ascii="宋体" w:hAnsi="宋体" w:hint="eastAsia"/>
                <w:sz w:val="24"/>
                <w:szCs w:val="24"/>
                <w:lang w:val="zh-CN"/>
              </w:rPr>
              <w:t>场</w:t>
            </w:r>
            <w:r w:rsidR="000F696D" w:rsidRPr="00E323A5">
              <w:rPr>
                <w:rFonts w:ascii="宋体" w:hAnsi="宋体" w:hint="eastAsia"/>
                <w:sz w:val="24"/>
                <w:szCs w:val="24"/>
                <w:lang w:val="zh-CN"/>
              </w:rPr>
              <w:t>区</w:t>
            </w:r>
            <w:r w:rsidRPr="00E323A5">
              <w:rPr>
                <w:rFonts w:ascii="宋体" w:hAnsi="宋体" w:hint="eastAsia"/>
                <w:sz w:val="24"/>
                <w:szCs w:val="24"/>
                <w:lang w:val="zh-CN"/>
              </w:rPr>
              <w:t>的改造完成，</w:t>
            </w:r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生产</w:t>
            </w:r>
            <w:r w:rsidRPr="00E323A5">
              <w:rPr>
                <w:rFonts w:ascii="宋体" w:hAnsi="宋体" w:hint="eastAsia"/>
                <w:sz w:val="24"/>
                <w:szCs w:val="24"/>
                <w:lang w:val="zh-CN"/>
              </w:rPr>
              <w:t>成本</w:t>
            </w:r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会</w:t>
            </w:r>
            <w:r w:rsidRPr="00E323A5">
              <w:rPr>
                <w:rFonts w:ascii="宋体" w:hAnsi="宋体" w:hint="eastAsia"/>
                <w:sz w:val="24"/>
                <w:szCs w:val="24"/>
                <w:lang w:val="zh-CN"/>
              </w:rPr>
              <w:t>逐步下降</w:t>
            </w:r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:rsidR="00E216C2" w:rsidRDefault="00E216C2" w:rsidP="006E473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3</w:t>
            </w:r>
            <w:r w:rsidRPr="000A043F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定增目前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的进展情况？</w:t>
            </w:r>
          </w:p>
          <w:p w:rsidR="00E216C2" w:rsidRDefault="00E216C2" w:rsidP="00E216C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公司自</w:t>
            </w:r>
            <w:r w:rsidR="000F696D">
              <w:rPr>
                <w:rFonts w:ascii="宋体" w:hAnsi="宋体" w:hint="eastAsia"/>
                <w:sz w:val="24"/>
                <w:szCs w:val="24"/>
                <w:lang w:val="zh-CN"/>
              </w:rPr>
              <w:t>8月</w:t>
            </w:r>
            <w:r w:rsidR="000F696D">
              <w:rPr>
                <w:rFonts w:ascii="宋体" w:hAnsi="宋体"/>
                <w:sz w:val="24"/>
                <w:szCs w:val="24"/>
                <w:lang w:val="zh-CN"/>
              </w:rPr>
              <w:t>初</w:t>
            </w:r>
            <w:r w:rsidRPr="00E216C2">
              <w:rPr>
                <w:rFonts w:ascii="宋体" w:hAnsi="宋体" w:hint="eastAsia"/>
                <w:sz w:val="24"/>
                <w:szCs w:val="24"/>
                <w:lang w:val="zh-CN"/>
              </w:rPr>
              <w:t>拿到批文后</w:t>
            </w:r>
            <w:r w:rsidR="000F696D">
              <w:rPr>
                <w:rFonts w:ascii="宋体" w:hAnsi="宋体" w:hint="eastAsia"/>
                <w:sz w:val="24"/>
                <w:szCs w:val="24"/>
                <w:lang w:val="zh-CN"/>
              </w:rPr>
              <w:t>，已</w:t>
            </w:r>
            <w:r w:rsidRPr="00E216C2">
              <w:rPr>
                <w:rFonts w:ascii="宋体" w:hAnsi="宋体" w:hint="eastAsia"/>
                <w:sz w:val="24"/>
                <w:szCs w:val="24"/>
                <w:lang w:val="zh-CN"/>
              </w:rPr>
              <w:t>启动相关程序</w:t>
            </w:r>
            <w:r w:rsidR="000F696D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  <w:r w:rsidR="00176E61">
              <w:rPr>
                <w:rFonts w:ascii="宋体" w:hAnsi="宋体" w:hint="eastAsia"/>
                <w:sz w:val="24"/>
                <w:szCs w:val="24"/>
                <w:lang w:val="zh-CN"/>
              </w:rPr>
              <w:t>现</w:t>
            </w:r>
            <w:r w:rsidR="00176E61">
              <w:rPr>
                <w:rFonts w:ascii="宋体" w:hAnsi="宋体"/>
                <w:sz w:val="24"/>
                <w:szCs w:val="24"/>
                <w:lang w:val="zh-CN"/>
              </w:rPr>
              <w:t>正</w:t>
            </w:r>
            <w:r w:rsidR="00EF69E4">
              <w:rPr>
                <w:rFonts w:ascii="宋体" w:hAnsi="宋体" w:hint="eastAsia"/>
                <w:sz w:val="24"/>
                <w:szCs w:val="24"/>
                <w:lang w:val="zh-CN"/>
              </w:rPr>
              <w:t>在</w:t>
            </w:r>
            <w:r w:rsidRPr="00E216C2">
              <w:rPr>
                <w:rFonts w:ascii="宋体" w:hAnsi="宋体" w:hint="eastAsia"/>
                <w:sz w:val="24"/>
                <w:szCs w:val="24"/>
                <w:lang w:val="zh-CN"/>
              </w:rPr>
              <w:t>履行</w:t>
            </w:r>
            <w:r w:rsidR="00EF69E4">
              <w:rPr>
                <w:rFonts w:ascii="宋体" w:hAnsi="宋体" w:hint="eastAsia"/>
                <w:sz w:val="24"/>
                <w:szCs w:val="24"/>
                <w:lang w:val="zh-CN"/>
              </w:rPr>
              <w:t>发行</w:t>
            </w:r>
            <w:r w:rsidRPr="00E216C2">
              <w:rPr>
                <w:rFonts w:ascii="宋体" w:hAnsi="宋体" w:hint="eastAsia"/>
                <w:sz w:val="24"/>
                <w:szCs w:val="24"/>
                <w:lang w:val="zh-CN"/>
              </w:rPr>
              <w:t>程序。</w:t>
            </w:r>
          </w:p>
          <w:p w:rsidR="00E216C2" w:rsidRDefault="00E216C2" w:rsidP="006E473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E216C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4、</w:t>
            </w:r>
            <w:r w:rsidR="007322F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针对生物安全</w:t>
            </w:r>
            <w:r w:rsidR="007322F4">
              <w:rPr>
                <w:rFonts w:ascii="宋体" w:hAnsi="宋体"/>
                <w:b/>
                <w:sz w:val="24"/>
                <w:szCs w:val="24"/>
                <w:lang w:val="zh-CN"/>
              </w:rPr>
              <w:t>防控公司有哪些具体措施</w:t>
            </w:r>
            <w:r w:rsidR="006B7AD7">
              <w:rPr>
                <w:rFonts w:ascii="宋体" w:hAnsi="宋体"/>
                <w:b/>
                <w:sz w:val="24"/>
                <w:szCs w:val="24"/>
                <w:lang w:val="zh-CN"/>
              </w:rPr>
              <w:t>？</w:t>
            </w:r>
          </w:p>
          <w:p w:rsidR="00541406" w:rsidRDefault="007322F4" w:rsidP="00E216C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7322F4">
              <w:rPr>
                <w:rFonts w:ascii="宋体" w:hAnsi="宋体" w:hint="eastAsia"/>
                <w:sz w:val="24"/>
                <w:szCs w:val="24"/>
                <w:lang w:val="zh-CN"/>
              </w:rPr>
              <w:t>在非洲猪瘟整个爆发的初期，对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 w:rsidRPr="007322F4">
              <w:rPr>
                <w:rFonts w:ascii="宋体" w:hAnsi="宋体" w:hint="eastAsia"/>
                <w:sz w:val="24"/>
                <w:szCs w:val="24"/>
                <w:lang w:val="zh-CN"/>
              </w:rPr>
              <w:t>也是一个新课题，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发现传统生产手段在非洲猪瘟疫情下缺乏保护力，因此</w:t>
            </w:r>
            <w:r w:rsidRPr="007322F4">
              <w:rPr>
                <w:rFonts w:ascii="宋体" w:hAnsi="宋体" w:hint="eastAsia"/>
                <w:sz w:val="24"/>
                <w:szCs w:val="24"/>
                <w:lang w:val="zh-CN"/>
              </w:rPr>
              <w:t>从</w:t>
            </w:r>
            <w:r w:rsidR="00681B4A">
              <w:rPr>
                <w:rFonts w:ascii="宋体" w:hAnsi="宋体" w:hint="eastAsia"/>
                <w:sz w:val="24"/>
                <w:szCs w:val="24"/>
                <w:lang w:val="zh-CN"/>
              </w:rPr>
              <w:t>20</w:t>
            </w:r>
            <w:r w:rsidRPr="007322F4">
              <w:rPr>
                <w:rFonts w:ascii="宋体" w:hAnsi="宋体" w:hint="eastAsia"/>
                <w:sz w:val="24"/>
                <w:szCs w:val="24"/>
                <w:lang w:val="zh-CN"/>
              </w:rPr>
              <w:t>18</w:t>
            </w:r>
            <w:r w:rsidR="0026367C">
              <w:rPr>
                <w:rFonts w:ascii="宋体" w:hAnsi="宋体" w:hint="eastAsia"/>
                <w:sz w:val="24"/>
                <w:szCs w:val="24"/>
                <w:lang w:val="zh-CN"/>
              </w:rPr>
              <w:t>年四季度</w:t>
            </w:r>
            <w:r w:rsidRPr="007322F4">
              <w:rPr>
                <w:rFonts w:ascii="宋体" w:hAnsi="宋体" w:hint="eastAsia"/>
                <w:sz w:val="24"/>
                <w:szCs w:val="24"/>
                <w:lang w:val="zh-CN"/>
              </w:rPr>
              <w:t>主动提升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生物</w:t>
            </w:r>
            <w:r w:rsidRPr="007322F4">
              <w:rPr>
                <w:rFonts w:ascii="宋体" w:hAnsi="宋体" w:hint="eastAsia"/>
                <w:sz w:val="24"/>
                <w:szCs w:val="24"/>
                <w:lang w:val="zh-CN"/>
              </w:rPr>
              <w:t>安全</w:t>
            </w:r>
            <w:r w:rsidR="00541406">
              <w:rPr>
                <w:rFonts w:ascii="宋体" w:hAnsi="宋体" w:hint="eastAsia"/>
                <w:sz w:val="24"/>
                <w:szCs w:val="24"/>
                <w:lang w:val="zh-CN"/>
              </w:rPr>
              <w:t>防控等级</w:t>
            </w:r>
            <w:r w:rsidRPr="007322F4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541406">
              <w:rPr>
                <w:rFonts w:ascii="宋体" w:hAnsi="宋体" w:hint="eastAsia"/>
                <w:sz w:val="24"/>
                <w:szCs w:val="24"/>
                <w:lang w:val="zh-CN"/>
              </w:rPr>
              <w:t>现</w:t>
            </w:r>
            <w:r w:rsidR="00541406">
              <w:rPr>
                <w:rFonts w:ascii="宋体" w:hAnsi="宋体"/>
                <w:sz w:val="24"/>
                <w:szCs w:val="24"/>
                <w:lang w:val="zh-CN"/>
              </w:rPr>
              <w:t>猪舍内部全部采用</w:t>
            </w:r>
            <w:r w:rsidR="00541406" w:rsidRPr="00541406">
              <w:rPr>
                <w:rFonts w:ascii="宋体" w:hAnsi="宋体" w:hint="eastAsia"/>
                <w:sz w:val="24"/>
                <w:szCs w:val="24"/>
                <w:lang w:val="zh-CN"/>
              </w:rPr>
              <w:t>新风系统，过滤空气</w:t>
            </w:r>
            <w:r w:rsidR="00541406">
              <w:rPr>
                <w:rFonts w:ascii="宋体" w:hAnsi="宋体"/>
                <w:sz w:val="24"/>
                <w:szCs w:val="24"/>
                <w:lang w:val="zh-CN"/>
              </w:rPr>
              <w:t>；</w:t>
            </w:r>
            <w:r w:rsidR="00541406">
              <w:rPr>
                <w:rFonts w:ascii="宋体" w:hAnsi="宋体" w:hint="eastAsia"/>
                <w:sz w:val="24"/>
                <w:szCs w:val="24"/>
                <w:lang w:val="zh-CN"/>
              </w:rPr>
              <w:t>同时</w:t>
            </w:r>
            <w:r w:rsidR="00541406">
              <w:rPr>
                <w:rFonts w:ascii="宋体" w:hAnsi="宋体"/>
                <w:sz w:val="24"/>
                <w:szCs w:val="24"/>
                <w:lang w:val="zh-CN"/>
              </w:rPr>
              <w:t>对</w:t>
            </w:r>
            <w:r w:rsidRPr="007322F4">
              <w:rPr>
                <w:rFonts w:ascii="宋体" w:hAnsi="宋体" w:hint="eastAsia"/>
                <w:sz w:val="24"/>
                <w:szCs w:val="24"/>
                <w:lang w:val="zh-CN"/>
              </w:rPr>
              <w:t>饲料进行</w:t>
            </w:r>
            <w:r w:rsidR="00541406">
              <w:rPr>
                <w:rFonts w:ascii="宋体" w:hAnsi="宋体" w:hint="eastAsia"/>
                <w:sz w:val="24"/>
                <w:szCs w:val="24"/>
                <w:lang w:val="zh-CN"/>
              </w:rPr>
              <w:t>多次高</w:t>
            </w:r>
            <w:r w:rsidRPr="007322F4">
              <w:rPr>
                <w:rFonts w:ascii="宋体" w:hAnsi="宋体" w:hint="eastAsia"/>
                <w:sz w:val="24"/>
                <w:szCs w:val="24"/>
                <w:lang w:val="zh-CN"/>
              </w:rPr>
              <w:t>温消毒，</w:t>
            </w:r>
            <w:r w:rsidR="00541406" w:rsidRPr="00541406">
              <w:rPr>
                <w:rFonts w:ascii="宋体" w:hAnsi="宋体" w:hint="eastAsia"/>
                <w:sz w:val="24"/>
                <w:szCs w:val="24"/>
                <w:lang w:val="zh-CN"/>
              </w:rPr>
              <w:t>在养殖场外增加饲料中转站等措施保证饲料安全；其次，养殖场新增洗</w:t>
            </w:r>
            <w:proofErr w:type="gramStart"/>
            <w:r w:rsidR="00541406" w:rsidRPr="00541406">
              <w:rPr>
                <w:rFonts w:ascii="宋体" w:hAnsi="宋体" w:hint="eastAsia"/>
                <w:sz w:val="24"/>
                <w:szCs w:val="24"/>
                <w:lang w:val="zh-CN"/>
              </w:rPr>
              <w:t>消中心</w:t>
            </w:r>
            <w:proofErr w:type="gramEnd"/>
            <w:r w:rsidR="00541406" w:rsidRPr="00541406">
              <w:rPr>
                <w:rFonts w:ascii="宋体" w:hAnsi="宋体" w:hint="eastAsia"/>
                <w:sz w:val="24"/>
                <w:szCs w:val="24"/>
                <w:lang w:val="zh-CN"/>
              </w:rPr>
              <w:t>和移动洗澡间，对进入场区的人员、车辆和物资进行严格的消毒、隔离，杜绝人员、车辆和物资携带病毒进入场区的可能；另外，通</w:t>
            </w:r>
            <w:r w:rsidR="00541406">
              <w:rPr>
                <w:rFonts w:ascii="宋体" w:hAnsi="宋体" w:hint="eastAsia"/>
                <w:sz w:val="24"/>
                <w:szCs w:val="24"/>
                <w:lang w:val="zh-CN"/>
              </w:rPr>
              <w:t>过对销售区进行改造，将销售区内部隔离分区，阻断客户与装</w:t>
            </w:r>
            <w:proofErr w:type="gramStart"/>
            <w:r w:rsidR="00541406">
              <w:rPr>
                <w:rFonts w:ascii="宋体" w:hAnsi="宋体" w:hint="eastAsia"/>
                <w:sz w:val="24"/>
                <w:szCs w:val="24"/>
                <w:lang w:val="zh-CN"/>
              </w:rPr>
              <w:t>猪台接触</w:t>
            </w:r>
            <w:proofErr w:type="gramEnd"/>
            <w:r w:rsidR="00C464D5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C464D5">
              <w:rPr>
                <w:rFonts w:ascii="宋体" w:hAnsi="宋体"/>
                <w:sz w:val="24"/>
                <w:szCs w:val="24"/>
                <w:lang w:val="zh-CN"/>
              </w:rPr>
              <w:t>减少生物安全上的风险</w:t>
            </w:r>
            <w:r w:rsidRPr="007322F4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:rsidR="00E216C2" w:rsidRDefault="00E216C2" w:rsidP="006E473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E216C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5、</w:t>
            </w:r>
            <w:r w:rsidR="00A467D8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</w:t>
            </w:r>
            <w:r w:rsidR="00A467D8">
              <w:rPr>
                <w:rFonts w:ascii="宋体" w:hAnsi="宋体"/>
                <w:b/>
                <w:sz w:val="24"/>
                <w:szCs w:val="24"/>
                <w:lang w:val="zh-CN"/>
              </w:rPr>
              <w:t>半年度报告中</w:t>
            </w:r>
            <w:r w:rsidR="00A467D8" w:rsidRPr="00E216C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销售费用</w:t>
            </w:r>
            <w:r w:rsidRPr="00E216C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增速较大，</w:t>
            </w:r>
            <w:r w:rsidR="00A467D8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主要原因</w:t>
            </w:r>
            <w:r w:rsidR="00A467D8">
              <w:rPr>
                <w:rFonts w:ascii="宋体" w:hAnsi="宋体"/>
                <w:b/>
                <w:sz w:val="24"/>
                <w:szCs w:val="24"/>
                <w:lang w:val="zh-CN"/>
              </w:rPr>
              <w:t>是</w:t>
            </w:r>
            <w:r w:rsidR="00A467D8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哪些</w:t>
            </w:r>
            <w:r w:rsidRPr="00E216C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:rsidR="00E216C2" w:rsidRDefault="00A467D8" w:rsidP="00A467D8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销售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费用</w:t>
            </w:r>
            <w:r w:rsidRPr="00A467D8">
              <w:rPr>
                <w:rFonts w:ascii="宋体" w:hAnsi="宋体" w:hint="eastAsia"/>
                <w:sz w:val="24"/>
                <w:szCs w:val="24"/>
                <w:lang w:val="zh-CN"/>
              </w:rPr>
              <w:t>主要包含：销售人员的工资，销售环节的检测费用、销售人员的差旅费用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和</w:t>
            </w:r>
            <w:r w:rsidRPr="00A467D8">
              <w:rPr>
                <w:rFonts w:ascii="宋体" w:hAnsi="宋体" w:hint="eastAsia"/>
                <w:sz w:val="24"/>
                <w:szCs w:val="24"/>
                <w:lang w:val="zh-CN"/>
              </w:rPr>
              <w:t>组织调研费用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等</w:t>
            </w:r>
            <w:r w:rsidRPr="00A467D8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上半年销售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费用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的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增加</w:t>
            </w:r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主要因为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销售人员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的增加以及生猪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销量增加带来的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检验费用</w:t>
            </w:r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增加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所致。另外，非洲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猪瘟发生后，公司组织销售人员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多次</w:t>
            </w:r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进行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市场调研也产生了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一些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差旅费用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:rsidR="00E216C2" w:rsidRPr="00E216C2" w:rsidRDefault="002944E5" w:rsidP="006E473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6</w:t>
            </w:r>
            <w:r w:rsidR="00E216C2" w:rsidRPr="00E216C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、公司7月商品猪出栏量同比下降的原因？</w:t>
            </w:r>
          </w:p>
          <w:p w:rsidR="00E216C2" w:rsidRDefault="002944E5" w:rsidP="00E216C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2944E5">
              <w:rPr>
                <w:rFonts w:ascii="宋体" w:hAnsi="宋体" w:hint="eastAsia"/>
                <w:sz w:val="24"/>
                <w:szCs w:val="24"/>
                <w:lang w:val="zh-CN"/>
              </w:rPr>
              <w:t>近几个月因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生猪场区</w:t>
            </w:r>
            <w:r w:rsidRPr="002944E5">
              <w:rPr>
                <w:rFonts w:ascii="宋体" w:hAnsi="宋体" w:hint="eastAsia"/>
                <w:sz w:val="24"/>
                <w:szCs w:val="24"/>
                <w:lang w:val="zh-CN"/>
              </w:rPr>
              <w:t>改造的完成、生产的稳定以及种猪调运恢复到畅通的状态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逐步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增加后备母猪的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留种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量，对当期商品猪出栏有一定的影响</w:t>
            </w:r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:rsidR="00E216C2" w:rsidRPr="0026367C" w:rsidRDefault="002944E5" w:rsidP="006E473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26367C">
              <w:rPr>
                <w:rFonts w:ascii="宋体" w:hAnsi="宋体"/>
                <w:b/>
                <w:sz w:val="24"/>
                <w:szCs w:val="24"/>
                <w:lang w:val="zh-CN"/>
              </w:rPr>
              <w:t>7</w:t>
            </w:r>
            <w:r w:rsidR="00E216C2" w:rsidRPr="0026367C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、截止上半年，</w:t>
            </w:r>
            <w:proofErr w:type="gramStart"/>
            <w:r w:rsidR="00E216C2" w:rsidRPr="0026367C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公司能繁母猪</w:t>
            </w:r>
            <w:proofErr w:type="gramEnd"/>
            <w:r w:rsidR="00E216C2" w:rsidRPr="0026367C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和后备母猪的存栏量大概是多少？</w:t>
            </w:r>
          </w:p>
          <w:p w:rsidR="00E216C2" w:rsidRDefault="005B5183" w:rsidP="005B518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上半年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，</w:t>
            </w:r>
            <w:proofErr w:type="gramStart"/>
            <w:r>
              <w:rPr>
                <w:rFonts w:ascii="宋体" w:hAnsi="宋体"/>
                <w:sz w:val="24"/>
                <w:szCs w:val="24"/>
                <w:lang w:val="zh-CN"/>
              </w:rPr>
              <w:t>公司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能繁</w:t>
            </w:r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母猪</w:t>
            </w:r>
            <w:proofErr w:type="gramEnd"/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存栏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60多万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头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，后备</w:t>
            </w:r>
            <w:r w:rsidR="00E216C2">
              <w:rPr>
                <w:rFonts w:ascii="宋体" w:hAnsi="宋体" w:hint="eastAsia"/>
                <w:sz w:val="24"/>
                <w:szCs w:val="24"/>
                <w:lang w:val="zh-CN"/>
              </w:rPr>
              <w:t>存栏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明显增加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  <w:proofErr w:type="gramStart"/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预计能繁母猪</w:t>
            </w:r>
            <w:proofErr w:type="gramEnd"/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到8月底会达到75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-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80万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头</w:t>
            </w:r>
            <w:r w:rsidR="00E216C2" w:rsidRPr="00E216C2">
              <w:rPr>
                <w:rFonts w:ascii="宋体" w:hAnsi="宋体" w:hint="eastAsia"/>
                <w:sz w:val="24"/>
                <w:szCs w:val="24"/>
                <w:lang w:val="zh-CN"/>
              </w:rPr>
              <w:t>的水平。</w:t>
            </w:r>
          </w:p>
          <w:p w:rsidR="00143148" w:rsidRPr="00143148" w:rsidRDefault="00143148" w:rsidP="00143148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  <w:lang w:val="zh-CN"/>
              </w:rPr>
            </w:pPr>
            <w:r w:rsidRPr="00143148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8、公司今年能否完成年初预计的出栏量？</w:t>
            </w:r>
          </w:p>
          <w:p w:rsidR="00143148" w:rsidRDefault="00143148" w:rsidP="00143148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  <w:lang w:val="zh-CN"/>
              </w:rPr>
            </w:pPr>
            <w:r w:rsidRPr="00143148">
              <w:rPr>
                <w:rFonts w:ascii="宋体" w:hAnsi="宋体" w:hint="eastAsia"/>
                <w:sz w:val="24"/>
                <w:szCs w:val="24"/>
                <w:lang w:val="zh-CN"/>
              </w:rPr>
              <w:t>公司2019年计划出栏生猪1,300万头至1,500万头，</w:t>
            </w:r>
            <w:r w:rsidR="00801A39" w:rsidRPr="00801A39">
              <w:rPr>
                <w:rFonts w:ascii="宋体" w:hAnsi="宋体" w:hint="eastAsia"/>
                <w:sz w:val="24"/>
                <w:szCs w:val="24"/>
                <w:lang w:val="zh-CN"/>
              </w:rPr>
              <w:t>对公司年初的</w:t>
            </w:r>
            <w:r w:rsidR="00801A39">
              <w:rPr>
                <w:rFonts w:ascii="宋体" w:hAnsi="宋体" w:hint="eastAsia"/>
                <w:sz w:val="24"/>
                <w:szCs w:val="24"/>
                <w:lang w:val="zh-CN"/>
              </w:rPr>
              <w:t>出栏</w:t>
            </w:r>
            <w:bookmarkStart w:id="0" w:name="_GoBack"/>
            <w:bookmarkEnd w:id="0"/>
            <w:r w:rsidR="00801A39" w:rsidRPr="00801A39">
              <w:rPr>
                <w:rFonts w:ascii="宋体" w:hAnsi="宋体" w:hint="eastAsia"/>
                <w:sz w:val="24"/>
                <w:szCs w:val="24"/>
                <w:lang w:val="zh-CN"/>
              </w:rPr>
              <w:t>计划正在努力达成。如有足够的迹象表明无法达到，会及时履行相关程序</w:t>
            </w:r>
            <w:r w:rsidRPr="00143148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:rsidR="002D4B10" w:rsidRPr="006E4730" w:rsidRDefault="00143148" w:rsidP="0094598B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lastRenderedPageBreak/>
              <w:t>9</w:t>
            </w:r>
            <w:r w:rsidR="0094598B" w:rsidRPr="006E4730">
              <w:rPr>
                <w:rFonts w:ascii="宋体" w:hAnsi="宋体"/>
                <w:b/>
                <w:sz w:val="24"/>
                <w:szCs w:val="24"/>
                <w:lang w:val="zh-CN"/>
              </w:rPr>
              <w:t>、</w:t>
            </w:r>
            <w:r w:rsidR="0094598B" w:rsidRPr="006E473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</w:t>
            </w:r>
            <w:r w:rsidR="00AF4783" w:rsidRPr="006E473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近期是否有</w:t>
            </w:r>
            <w:r w:rsidR="00AF4783" w:rsidRPr="006E4730">
              <w:rPr>
                <w:rFonts w:ascii="宋体" w:hAnsi="宋体"/>
                <w:b/>
                <w:sz w:val="24"/>
                <w:szCs w:val="24"/>
                <w:lang w:val="zh-CN"/>
              </w:rPr>
              <w:t>扩大再生产</w:t>
            </w:r>
            <w:r w:rsidR="00AF4783" w:rsidRPr="006E473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</w:t>
            </w:r>
            <w:r w:rsidR="00AF4783" w:rsidRPr="006E4730">
              <w:rPr>
                <w:rFonts w:ascii="宋体" w:hAnsi="宋体"/>
                <w:b/>
                <w:sz w:val="24"/>
                <w:szCs w:val="24"/>
                <w:lang w:val="zh-CN"/>
              </w:rPr>
              <w:t>计划</w:t>
            </w:r>
            <w:r w:rsidR="0094598B" w:rsidRPr="006E473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:rsidR="0094598B" w:rsidRDefault="00AF4783" w:rsidP="00AF478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未来公司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的</w:t>
            </w:r>
            <w:r w:rsidR="0094598B" w:rsidRPr="0094598B">
              <w:rPr>
                <w:rFonts w:ascii="宋体" w:hAnsi="宋体" w:hint="eastAsia"/>
                <w:sz w:val="24"/>
                <w:szCs w:val="24"/>
                <w:lang w:val="zh-CN"/>
              </w:rPr>
              <w:t>发展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计划</w:t>
            </w:r>
            <w:r w:rsidR="0094598B" w:rsidRPr="0094598B">
              <w:rPr>
                <w:rFonts w:ascii="宋体" w:hAnsi="宋体" w:hint="eastAsia"/>
                <w:sz w:val="24"/>
                <w:szCs w:val="24"/>
                <w:lang w:val="zh-CN"/>
              </w:rPr>
              <w:t>是公司董事会</w:t>
            </w:r>
            <w:r w:rsidRPr="0094598B">
              <w:rPr>
                <w:rFonts w:ascii="宋体" w:hAnsi="宋体" w:hint="eastAsia"/>
                <w:sz w:val="24"/>
                <w:szCs w:val="24"/>
                <w:lang w:val="zh-CN"/>
              </w:rPr>
              <w:t>根据</w:t>
            </w:r>
            <w:r w:rsidR="0094598B" w:rsidRPr="0094598B">
              <w:rPr>
                <w:rFonts w:ascii="宋体" w:hAnsi="宋体" w:hint="eastAsia"/>
                <w:sz w:val="24"/>
                <w:szCs w:val="24"/>
                <w:lang w:val="zh-CN"/>
              </w:rPr>
              <w:t>行业发展情况与自身发展经营条件做出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的慎重</w:t>
            </w:r>
            <w:r w:rsidR="0094598B" w:rsidRPr="0094598B">
              <w:rPr>
                <w:rFonts w:ascii="宋体" w:hAnsi="宋体" w:hint="eastAsia"/>
                <w:sz w:val="24"/>
                <w:szCs w:val="24"/>
                <w:lang w:val="zh-CN"/>
              </w:rPr>
              <w:t>决定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。首先董事会做出的决定第一</w:t>
            </w:r>
            <w:proofErr w:type="gramStart"/>
            <w:r w:rsidR="0094598B" w:rsidRPr="0094598B">
              <w:rPr>
                <w:rFonts w:ascii="宋体" w:hAnsi="宋体" w:hint="eastAsia"/>
                <w:sz w:val="24"/>
                <w:szCs w:val="24"/>
                <w:lang w:val="zh-CN"/>
              </w:rPr>
              <w:t>考量</w:t>
            </w:r>
            <w:proofErr w:type="gramEnd"/>
            <w:r w:rsidR="0094598B" w:rsidRPr="0094598B">
              <w:rPr>
                <w:rFonts w:ascii="宋体" w:hAnsi="宋体" w:hint="eastAsia"/>
                <w:sz w:val="24"/>
                <w:szCs w:val="24"/>
                <w:lang w:val="zh-CN"/>
              </w:rPr>
              <w:t>就是为全体股东负责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，非洲猪瘟</w:t>
            </w:r>
            <w:r w:rsidRPr="00AF4783">
              <w:rPr>
                <w:rFonts w:ascii="宋体" w:hAnsi="宋体" w:hint="eastAsia"/>
                <w:sz w:val="24"/>
                <w:szCs w:val="24"/>
                <w:lang w:val="zh-CN"/>
              </w:rPr>
              <w:t>对中国的产能造成比较大的影响，</w:t>
            </w:r>
            <w:r w:rsidR="0094598B" w:rsidRPr="0094598B">
              <w:rPr>
                <w:rFonts w:ascii="宋体" w:hAnsi="宋体" w:hint="eastAsia"/>
                <w:sz w:val="24"/>
                <w:szCs w:val="24"/>
                <w:lang w:val="zh-CN"/>
              </w:rPr>
              <w:t>对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行业</w:t>
            </w:r>
            <w:r w:rsidR="0094598B" w:rsidRPr="0094598B">
              <w:rPr>
                <w:rFonts w:ascii="宋体" w:hAnsi="宋体" w:hint="eastAsia"/>
                <w:sz w:val="24"/>
                <w:szCs w:val="24"/>
                <w:lang w:val="zh-CN"/>
              </w:rPr>
              <w:t>发展是一个很好的机遇，公司希望抓住和利用这个机遇，</w:t>
            </w:r>
            <w:r w:rsidR="00C6584A">
              <w:rPr>
                <w:rFonts w:ascii="宋体" w:hAnsi="宋体" w:hint="eastAsia"/>
                <w:sz w:val="24"/>
                <w:szCs w:val="24"/>
                <w:lang w:val="zh-CN"/>
              </w:rPr>
              <w:t>公司将继续以生猪养殖为主营业务，不断扩大公司生产经营规模，提升</w:t>
            </w:r>
            <w:r w:rsidR="0094598B" w:rsidRPr="0094598B">
              <w:rPr>
                <w:rFonts w:ascii="宋体" w:hAnsi="宋体" w:hint="eastAsia"/>
                <w:sz w:val="24"/>
                <w:szCs w:val="24"/>
                <w:lang w:val="zh-CN"/>
              </w:rPr>
              <w:t>盈利能力，回报</w:t>
            </w:r>
            <w:r w:rsidR="00C6584A">
              <w:rPr>
                <w:rFonts w:ascii="宋体" w:hAnsi="宋体" w:hint="eastAsia"/>
                <w:sz w:val="24"/>
                <w:szCs w:val="24"/>
                <w:lang w:val="zh-CN"/>
              </w:rPr>
              <w:t>全体</w:t>
            </w:r>
            <w:r w:rsidR="0094598B" w:rsidRPr="0094598B">
              <w:rPr>
                <w:rFonts w:ascii="宋体" w:hAnsi="宋体" w:hint="eastAsia"/>
                <w:sz w:val="24"/>
                <w:szCs w:val="24"/>
                <w:lang w:val="zh-CN"/>
              </w:rPr>
              <w:t>股东。</w:t>
            </w:r>
          </w:p>
          <w:p w:rsidR="003B1E95" w:rsidRPr="006E4730" w:rsidRDefault="00143148" w:rsidP="006E473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10</w:t>
            </w:r>
            <w:r w:rsidR="003B1E95" w:rsidRPr="006E4730">
              <w:rPr>
                <w:rFonts w:ascii="宋体" w:hAnsi="宋体"/>
                <w:b/>
                <w:sz w:val="24"/>
                <w:szCs w:val="24"/>
                <w:lang w:val="zh-CN"/>
              </w:rPr>
              <w:t>、公司对于非洲猪瘟疫苗的看法？</w:t>
            </w:r>
          </w:p>
          <w:p w:rsidR="00AF4783" w:rsidRDefault="00167CBF" w:rsidP="00167CB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首先，公司一直</w:t>
            </w:r>
            <w:r w:rsidRPr="003B1E95">
              <w:rPr>
                <w:rFonts w:ascii="宋体" w:hAnsi="宋体" w:hint="eastAsia"/>
                <w:sz w:val="24"/>
                <w:szCs w:val="24"/>
                <w:lang w:val="zh-CN"/>
              </w:rPr>
              <w:t>在密切关注</w:t>
            </w:r>
            <w:r w:rsidR="00EF426A">
              <w:rPr>
                <w:rFonts w:ascii="宋体" w:hAnsi="宋体" w:hint="eastAsia"/>
                <w:sz w:val="24"/>
                <w:szCs w:val="24"/>
                <w:lang w:val="zh-CN"/>
              </w:rPr>
              <w:t>非洲猪瘟疫苗，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其次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，</w:t>
            </w:r>
            <w:r w:rsidR="003B1E95" w:rsidRPr="003B1E95">
              <w:rPr>
                <w:rFonts w:ascii="宋体" w:hAnsi="宋体" w:hint="eastAsia"/>
                <w:sz w:val="24"/>
                <w:szCs w:val="24"/>
                <w:lang w:val="zh-CN"/>
              </w:rPr>
              <w:t>公司致力于生产健康食品，对于疫苗的使用有严格的流程和制度，疫苗使用前需要对产品进行评估，对关键指标进行考核，同时对其保护效果和副作用进行跟踪和观察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，综合</w:t>
            </w:r>
            <w:r w:rsidRPr="00167CBF">
              <w:rPr>
                <w:rFonts w:ascii="宋体" w:hAnsi="宋体" w:hint="eastAsia"/>
                <w:sz w:val="24"/>
                <w:szCs w:val="24"/>
                <w:lang w:val="zh-CN"/>
              </w:rPr>
              <w:t>评估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后</w:t>
            </w:r>
            <w:r w:rsidRPr="00167CBF">
              <w:rPr>
                <w:rFonts w:ascii="宋体" w:hAnsi="宋体" w:hint="eastAsia"/>
                <w:sz w:val="24"/>
                <w:szCs w:val="24"/>
                <w:lang w:val="zh-CN"/>
              </w:rPr>
              <w:t>，决定是否采购和使用。</w:t>
            </w:r>
          </w:p>
        </w:tc>
      </w:tr>
      <w:tr w:rsidR="003577F6">
        <w:tc>
          <w:tcPr>
            <w:tcW w:w="2943" w:type="dxa"/>
            <w:vAlign w:val="center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:rsidR="003577F6" w:rsidRDefault="003577F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3577F6">
        <w:tc>
          <w:tcPr>
            <w:tcW w:w="2943" w:type="dxa"/>
            <w:vAlign w:val="center"/>
          </w:tcPr>
          <w:p w:rsidR="003577F6" w:rsidRDefault="0095556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:rsidR="003577F6" w:rsidRDefault="000758DF" w:rsidP="001253A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2019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="0095556F"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1253AB">
              <w:rPr>
                <w:bCs/>
                <w:iCs/>
                <w:sz w:val="24"/>
                <w:szCs w:val="24"/>
              </w:rPr>
              <w:t>7</w:t>
            </w:r>
            <w:r w:rsidR="0095556F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3577F6" w:rsidRDefault="002B50C2" w:rsidP="002B50C2">
      <w:pPr>
        <w:tabs>
          <w:tab w:val="left" w:pos="5628"/>
        </w:tabs>
      </w:pPr>
      <w:r>
        <w:tab/>
      </w:r>
    </w:p>
    <w:sectPr w:rsidR="003577F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5D" w:rsidRDefault="009A525D">
      <w:r>
        <w:separator/>
      </w:r>
    </w:p>
  </w:endnote>
  <w:endnote w:type="continuationSeparator" w:id="0">
    <w:p w:rsidR="009A525D" w:rsidRDefault="009A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5D" w:rsidRDefault="009A525D">
      <w:r>
        <w:separator/>
      </w:r>
    </w:p>
  </w:footnote>
  <w:footnote w:type="continuationSeparator" w:id="0">
    <w:p w:rsidR="009A525D" w:rsidRDefault="009A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A1" w:rsidRDefault="00B133A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27F32"/>
    <w:multiLevelType w:val="singleLevel"/>
    <w:tmpl w:val="44B27F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1EC"/>
    <w:rsid w:val="000224ED"/>
    <w:rsid w:val="00033068"/>
    <w:rsid w:val="00034320"/>
    <w:rsid w:val="00040683"/>
    <w:rsid w:val="00043006"/>
    <w:rsid w:val="000758DF"/>
    <w:rsid w:val="000A043F"/>
    <w:rsid w:val="000A1459"/>
    <w:rsid w:val="000A1EFA"/>
    <w:rsid w:val="000A5F67"/>
    <w:rsid w:val="000B12DF"/>
    <w:rsid w:val="000B4C95"/>
    <w:rsid w:val="000B5EF7"/>
    <w:rsid w:val="000D37A1"/>
    <w:rsid w:val="000E2817"/>
    <w:rsid w:val="000E2B7D"/>
    <w:rsid w:val="000E5C89"/>
    <w:rsid w:val="000F57C1"/>
    <w:rsid w:val="000F696D"/>
    <w:rsid w:val="000F7CC5"/>
    <w:rsid w:val="001109AF"/>
    <w:rsid w:val="001161D3"/>
    <w:rsid w:val="001241C9"/>
    <w:rsid w:val="001253AB"/>
    <w:rsid w:val="00136158"/>
    <w:rsid w:val="001364E4"/>
    <w:rsid w:val="001407CC"/>
    <w:rsid w:val="00143148"/>
    <w:rsid w:val="001473F2"/>
    <w:rsid w:val="00150C84"/>
    <w:rsid w:val="0015463D"/>
    <w:rsid w:val="00161B8A"/>
    <w:rsid w:val="00164B9B"/>
    <w:rsid w:val="00166F04"/>
    <w:rsid w:val="00167CBF"/>
    <w:rsid w:val="00172A27"/>
    <w:rsid w:val="00176E61"/>
    <w:rsid w:val="001850DF"/>
    <w:rsid w:val="00190CD4"/>
    <w:rsid w:val="00195C11"/>
    <w:rsid w:val="00196CAD"/>
    <w:rsid w:val="001A420D"/>
    <w:rsid w:val="001A49B6"/>
    <w:rsid w:val="001B0AB4"/>
    <w:rsid w:val="001C029F"/>
    <w:rsid w:val="001C31DD"/>
    <w:rsid w:val="001C61C5"/>
    <w:rsid w:val="001D68DC"/>
    <w:rsid w:val="001E2099"/>
    <w:rsid w:val="001F5A26"/>
    <w:rsid w:val="002049D9"/>
    <w:rsid w:val="00220F99"/>
    <w:rsid w:val="00221633"/>
    <w:rsid w:val="00222ABB"/>
    <w:rsid w:val="00231362"/>
    <w:rsid w:val="00233BB1"/>
    <w:rsid w:val="0024236E"/>
    <w:rsid w:val="00255686"/>
    <w:rsid w:val="00255EAB"/>
    <w:rsid w:val="00255FA9"/>
    <w:rsid w:val="0026367C"/>
    <w:rsid w:val="00266819"/>
    <w:rsid w:val="00272398"/>
    <w:rsid w:val="00273568"/>
    <w:rsid w:val="0027403B"/>
    <w:rsid w:val="00282163"/>
    <w:rsid w:val="002879CB"/>
    <w:rsid w:val="002944E5"/>
    <w:rsid w:val="002B4405"/>
    <w:rsid w:val="002B50C2"/>
    <w:rsid w:val="002C427A"/>
    <w:rsid w:val="002C7832"/>
    <w:rsid w:val="002C79B8"/>
    <w:rsid w:val="002D4B10"/>
    <w:rsid w:val="002D6DD8"/>
    <w:rsid w:val="00331839"/>
    <w:rsid w:val="003346B6"/>
    <w:rsid w:val="0034313D"/>
    <w:rsid w:val="00350EDB"/>
    <w:rsid w:val="0035150E"/>
    <w:rsid w:val="003523B1"/>
    <w:rsid w:val="003560D9"/>
    <w:rsid w:val="003577F6"/>
    <w:rsid w:val="0036391A"/>
    <w:rsid w:val="00367FAA"/>
    <w:rsid w:val="00377CE9"/>
    <w:rsid w:val="00381347"/>
    <w:rsid w:val="00381B39"/>
    <w:rsid w:val="0038328A"/>
    <w:rsid w:val="00383652"/>
    <w:rsid w:val="00390408"/>
    <w:rsid w:val="003A3004"/>
    <w:rsid w:val="003A453D"/>
    <w:rsid w:val="003B1AEA"/>
    <w:rsid w:val="003B1C6A"/>
    <w:rsid w:val="003B1E95"/>
    <w:rsid w:val="003D5F9E"/>
    <w:rsid w:val="003E0B4F"/>
    <w:rsid w:val="003E2E24"/>
    <w:rsid w:val="003F556D"/>
    <w:rsid w:val="00405BE7"/>
    <w:rsid w:val="004135EA"/>
    <w:rsid w:val="00425C6A"/>
    <w:rsid w:val="00426FC3"/>
    <w:rsid w:val="00432672"/>
    <w:rsid w:val="00443343"/>
    <w:rsid w:val="004465C5"/>
    <w:rsid w:val="004529CA"/>
    <w:rsid w:val="004741DD"/>
    <w:rsid w:val="00477613"/>
    <w:rsid w:val="004803E7"/>
    <w:rsid w:val="00480E1C"/>
    <w:rsid w:val="00482D78"/>
    <w:rsid w:val="00483322"/>
    <w:rsid w:val="00486810"/>
    <w:rsid w:val="00492610"/>
    <w:rsid w:val="00493AB8"/>
    <w:rsid w:val="0049672A"/>
    <w:rsid w:val="004A4198"/>
    <w:rsid w:val="004B167B"/>
    <w:rsid w:val="004B6DD9"/>
    <w:rsid w:val="004B7723"/>
    <w:rsid w:val="004E1B44"/>
    <w:rsid w:val="004F1B78"/>
    <w:rsid w:val="004F7BE5"/>
    <w:rsid w:val="00504200"/>
    <w:rsid w:val="0050545A"/>
    <w:rsid w:val="00515D22"/>
    <w:rsid w:val="00517B20"/>
    <w:rsid w:val="00517E9F"/>
    <w:rsid w:val="00541406"/>
    <w:rsid w:val="0055369F"/>
    <w:rsid w:val="005646AD"/>
    <w:rsid w:val="005A0F1B"/>
    <w:rsid w:val="005A4390"/>
    <w:rsid w:val="005B2C37"/>
    <w:rsid w:val="005B4B41"/>
    <w:rsid w:val="005B5183"/>
    <w:rsid w:val="005B56FC"/>
    <w:rsid w:val="005C3028"/>
    <w:rsid w:val="005D0962"/>
    <w:rsid w:val="005D0D03"/>
    <w:rsid w:val="005D6FA6"/>
    <w:rsid w:val="005E1396"/>
    <w:rsid w:val="005E1A38"/>
    <w:rsid w:val="005E3D5B"/>
    <w:rsid w:val="005F5C8A"/>
    <w:rsid w:val="00600FF5"/>
    <w:rsid w:val="006053C4"/>
    <w:rsid w:val="00622F4D"/>
    <w:rsid w:val="0063207D"/>
    <w:rsid w:val="00644EDD"/>
    <w:rsid w:val="00650BB8"/>
    <w:rsid w:val="00656F12"/>
    <w:rsid w:val="006608E6"/>
    <w:rsid w:val="0067431E"/>
    <w:rsid w:val="00681B4A"/>
    <w:rsid w:val="00685C92"/>
    <w:rsid w:val="006A2629"/>
    <w:rsid w:val="006B7AD7"/>
    <w:rsid w:val="006B7DF5"/>
    <w:rsid w:val="006C3D1D"/>
    <w:rsid w:val="006C5077"/>
    <w:rsid w:val="006C7C5F"/>
    <w:rsid w:val="006D0255"/>
    <w:rsid w:val="006D5329"/>
    <w:rsid w:val="006E4730"/>
    <w:rsid w:val="006E4F9A"/>
    <w:rsid w:val="006F397F"/>
    <w:rsid w:val="006F6033"/>
    <w:rsid w:val="007066C1"/>
    <w:rsid w:val="00723631"/>
    <w:rsid w:val="007322F4"/>
    <w:rsid w:val="00750309"/>
    <w:rsid w:val="00755EDB"/>
    <w:rsid w:val="007575F6"/>
    <w:rsid w:val="0076092E"/>
    <w:rsid w:val="00766D10"/>
    <w:rsid w:val="007710A6"/>
    <w:rsid w:val="00783653"/>
    <w:rsid w:val="00787CFE"/>
    <w:rsid w:val="007A0441"/>
    <w:rsid w:val="007A2999"/>
    <w:rsid w:val="007A6845"/>
    <w:rsid w:val="007D02AA"/>
    <w:rsid w:val="007D2CE7"/>
    <w:rsid w:val="007F2BED"/>
    <w:rsid w:val="00801A39"/>
    <w:rsid w:val="00801D92"/>
    <w:rsid w:val="00822A02"/>
    <w:rsid w:val="0082537D"/>
    <w:rsid w:val="00830302"/>
    <w:rsid w:val="00830C97"/>
    <w:rsid w:val="00833A3C"/>
    <w:rsid w:val="00837B24"/>
    <w:rsid w:val="00843011"/>
    <w:rsid w:val="008449ED"/>
    <w:rsid w:val="00844C89"/>
    <w:rsid w:val="00845F88"/>
    <w:rsid w:val="00851994"/>
    <w:rsid w:val="0085568C"/>
    <w:rsid w:val="008567F3"/>
    <w:rsid w:val="00861D89"/>
    <w:rsid w:val="00865BB0"/>
    <w:rsid w:val="00876EF5"/>
    <w:rsid w:val="008904F3"/>
    <w:rsid w:val="00890F6F"/>
    <w:rsid w:val="00895C2E"/>
    <w:rsid w:val="008B356C"/>
    <w:rsid w:val="008C5EF5"/>
    <w:rsid w:val="008E6C20"/>
    <w:rsid w:val="008F2B68"/>
    <w:rsid w:val="00901F76"/>
    <w:rsid w:val="00917F96"/>
    <w:rsid w:val="00940495"/>
    <w:rsid w:val="0094598B"/>
    <w:rsid w:val="0095556F"/>
    <w:rsid w:val="009559C7"/>
    <w:rsid w:val="00981FB7"/>
    <w:rsid w:val="00982EE3"/>
    <w:rsid w:val="00984E7F"/>
    <w:rsid w:val="00985036"/>
    <w:rsid w:val="00992C8D"/>
    <w:rsid w:val="009964FF"/>
    <w:rsid w:val="009A22B9"/>
    <w:rsid w:val="009A525D"/>
    <w:rsid w:val="009B0253"/>
    <w:rsid w:val="009B3519"/>
    <w:rsid w:val="009C584E"/>
    <w:rsid w:val="009C74E9"/>
    <w:rsid w:val="009E1532"/>
    <w:rsid w:val="009E5289"/>
    <w:rsid w:val="00A028B8"/>
    <w:rsid w:val="00A03466"/>
    <w:rsid w:val="00A127FD"/>
    <w:rsid w:val="00A3162E"/>
    <w:rsid w:val="00A33E76"/>
    <w:rsid w:val="00A40E7D"/>
    <w:rsid w:val="00A467D8"/>
    <w:rsid w:val="00A46C69"/>
    <w:rsid w:val="00A61D74"/>
    <w:rsid w:val="00A657BD"/>
    <w:rsid w:val="00A71FBA"/>
    <w:rsid w:val="00A733FA"/>
    <w:rsid w:val="00A773D0"/>
    <w:rsid w:val="00A82A69"/>
    <w:rsid w:val="00AA346F"/>
    <w:rsid w:val="00AA62CC"/>
    <w:rsid w:val="00AC6EED"/>
    <w:rsid w:val="00AD6DD7"/>
    <w:rsid w:val="00AF0A54"/>
    <w:rsid w:val="00AF4783"/>
    <w:rsid w:val="00B10041"/>
    <w:rsid w:val="00B133A1"/>
    <w:rsid w:val="00B15C03"/>
    <w:rsid w:val="00B2684A"/>
    <w:rsid w:val="00B325B2"/>
    <w:rsid w:val="00B3318B"/>
    <w:rsid w:val="00B33BA0"/>
    <w:rsid w:val="00B37C6B"/>
    <w:rsid w:val="00B41AB5"/>
    <w:rsid w:val="00B75983"/>
    <w:rsid w:val="00B81469"/>
    <w:rsid w:val="00B93240"/>
    <w:rsid w:val="00B97888"/>
    <w:rsid w:val="00BA0959"/>
    <w:rsid w:val="00BA3FE5"/>
    <w:rsid w:val="00BA7A88"/>
    <w:rsid w:val="00BB1A97"/>
    <w:rsid w:val="00BC3B14"/>
    <w:rsid w:val="00BC76EF"/>
    <w:rsid w:val="00BD7BFD"/>
    <w:rsid w:val="00BD7CAF"/>
    <w:rsid w:val="00BE36CE"/>
    <w:rsid w:val="00BE48AA"/>
    <w:rsid w:val="00BF1A00"/>
    <w:rsid w:val="00BF4EBE"/>
    <w:rsid w:val="00BF7CFB"/>
    <w:rsid w:val="00C04404"/>
    <w:rsid w:val="00C0725B"/>
    <w:rsid w:val="00C072F3"/>
    <w:rsid w:val="00C10DB6"/>
    <w:rsid w:val="00C15763"/>
    <w:rsid w:val="00C16F1A"/>
    <w:rsid w:val="00C209F6"/>
    <w:rsid w:val="00C23239"/>
    <w:rsid w:val="00C2379D"/>
    <w:rsid w:val="00C30155"/>
    <w:rsid w:val="00C320C7"/>
    <w:rsid w:val="00C37F77"/>
    <w:rsid w:val="00C464D5"/>
    <w:rsid w:val="00C513CC"/>
    <w:rsid w:val="00C54DBC"/>
    <w:rsid w:val="00C63327"/>
    <w:rsid w:val="00C6584A"/>
    <w:rsid w:val="00C65F4F"/>
    <w:rsid w:val="00C6719D"/>
    <w:rsid w:val="00C76D2B"/>
    <w:rsid w:val="00C83D63"/>
    <w:rsid w:val="00C83DF1"/>
    <w:rsid w:val="00C86795"/>
    <w:rsid w:val="00C91F3E"/>
    <w:rsid w:val="00CA1EAB"/>
    <w:rsid w:val="00CB1138"/>
    <w:rsid w:val="00CB4FE3"/>
    <w:rsid w:val="00CB65A0"/>
    <w:rsid w:val="00CD0BC6"/>
    <w:rsid w:val="00CE49BD"/>
    <w:rsid w:val="00CE71DA"/>
    <w:rsid w:val="00CF3589"/>
    <w:rsid w:val="00D05DBA"/>
    <w:rsid w:val="00D22730"/>
    <w:rsid w:val="00D2334E"/>
    <w:rsid w:val="00D46E1E"/>
    <w:rsid w:val="00D47B5E"/>
    <w:rsid w:val="00D5162D"/>
    <w:rsid w:val="00D53236"/>
    <w:rsid w:val="00D601AD"/>
    <w:rsid w:val="00D605BD"/>
    <w:rsid w:val="00D60678"/>
    <w:rsid w:val="00D6237D"/>
    <w:rsid w:val="00D847FC"/>
    <w:rsid w:val="00D870B3"/>
    <w:rsid w:val="00D909FD"/>
    <w:rsid w:val="00D96478"/>
    <w:rsid w:val="00DA1CCF"/>
    <w:rsid w:val="00DA26B2"/>
    <w:rsid w:val="00DC1131"/>
    <w:rsid w:val="00DC6739"/>
    <w:rsid w:val="00DD4EFC"/>
    <w:rsid w:val="00DE24BB"/>
    <w:rsid w:val="00DF2171"/>
    <w:rsid w:val="00DF228E"/>
    <w:rsid w:val="00DF4EB0"/>
    <w:rsid w:val="00DF75EA"/>
    <w:rsid w:val="00E0357D"/>
    <w:rsid w:val="00E06420"/>
    <w:rsid w:val="00E16715"/>
    <w:rsid w:val="00E216C2"/>
    <w:rsid w:val="00E323A5"/>
    <w:rsid w:val="00E33860"/>
    <w:rsid w:val="00E34176"/>
    <w:rsid w:val="00E434B4"/>
    <w:rsid w:val="00E5115B"/>
    <w:rsid w:val="00E73231"/>
    <w:rsid w:val="00E773AC"/>
    <w:rsid w:val="00E83656"/>
    <w:rsid w:val="00E87F69"/>
    <w:rsid w:val="00E943BA"/>
    <w:rsid w:val="00E96858"/>
    <w:rsid w:val="00EA46A7"/>
    <w:rsid w:val="00EB5052"/>
    <w:rsid w:val="00EC49ED"/>
    <w:rsid w:val="00ED0E94"/>
    <w:rsid w:val="00EF426A"/>
    <w:rsid w:val="00EF69E4"/>
    <w:rsid w:val="00F000C8"/>
    <w:rsid w:val="00F03499"/>
    <w:rsid w:val="00F055AA"/>
    <w:rsid w:val="00F154E0"/>
    <w:rsid w:val="00F16C2A"/>
    <w:rsid w:val="00F17069"/>
    <w:rsid w:val="00F22D10"/>
    <w:rsid w:val="00F334A0"/>
    <w:rsid w:val="00F41BA8"/>
    <w:rsid w:val="00F44858"/>
    <w:rsid w:val="00F50B30"/>
    <w:rsid w:val="00F51A60"/>
    <w:rsid w:val="00F6170F"/>
    <w:rsid w:val="00F70A2E"/>
    <w:rsid w:val="00F75720"/>
    <w:rsid w:val="00F862B2"/>
    <w:rsid w:val="00F942C3"/>
    <w:rsid w:val="00FA283B"/>
    <w:rsid w:val="00FC3DF7"/>
    <w:rsid w:val="00FE02A9"/>
    <w:rsid w:val="00FE502E"/>
    <w:rsid w:val="00FF4C9C"/>
    <w:rsid w:val="00FF7DAE"/>
    <w:rsid w:val="018C22E1"/>
    <w:rsid w:val="01D00199"/>
    <w:rsid w:val="04981D80"/>
    <w:rsid w:val="0C483BD9"/>
    <w:rsid w:val="14EC5E93"/>
    <w:rsid w:val="1B096BA9"/>
    <w:rsid w:val="1C732D8B"/>
    <w:rsid w:val="21AE7EE8"/>
    <w:rsid w:val="21BF74EF"/>
    <w:rsid w:val="22956A32"/>
    <w:rsid w:val="27336568"/>
    <w:rsid w:val="28D266C7"/>
    <w:rsid w:val="2C3F48AC"/>
    <w:rsid w:val="2C484761"/>
    <w:rsid w:val="2FE3257E"/>
    <w:rsid w:val="31631222"/>
    <w:rsid w:val="37D3757F"/>
    <w:rsid w:val="3BBE6F29"/>
    <w:rsid w:val="3F114B82"/>
    <w:rsid w:val="42963825"/>
    <w:rsid w:val="52501378"/>
    <w:rsid w:val="526C2F4A"/>
    <w:rsid w:val="6007192C"/>
    <w:rsid w:val="60877FFA"/>
    <w:rsid w:val="6329744A"/>
    <w:rsid w:val="69E74D3E"/>
    <w:rsid w:val="6A527027"/>
    <w:rsid w:val="7137340A"/>
    <w:rsid w:val="7BBC4A81"/>
    <w:rsid w:val="7F6E5B6C"/>
    <w:rsid w:val="7FB0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2D04A3-B638-49F7-89EB-A736DAA3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257</Words>
  <Characters>1468</Characters>
  <Application>Microsoft Office Word</Application>
  <DocSecurity>0</DocSecurity>
  <Lines>12</Lines>
  <Paragraphs>3</Paragraphs>
  <ScaleCrop>false</ScaleCrop>
  <Company>微软中国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changyan</cp:lastModifiedBy>
  <cp:revision>38</cp:revision>
  <dcterms:created xsi:type="dcterms:W3CDTF">2019-08-28T10:43:00Z</dcterms:created>
  <dcterms:modified xsi:type="dcterms:W3CDTF">2019-08-29T10:50:00Z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